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Borders>
          <w:top w:val="single" w:sz="24" w:space="0" w:color="00000A"/>
          <w:bottom w:val="single" w:sz="24" w:space="0" w:color="00000A"/>
          <w:insideH w:val="single" w:sz="24" w:space="0" w:color="00000A"/>
        </w:tblBorders>
        <w:tblLayout w:type="fixed"/>
        <w:tblCellMar>
          <w:left w:w="0" w:type="dxa"/>
          <w:right w:w="0" w:type="dxa"/>
        </w:tblCellMar>
        <w:tblLook w:val="04A0" w:firstRow="1" w:lastRow="0" w:firstColumn="1" w:lastColumn="0" w:noHBand="0" w:noVBand="1"/>
      </w:tblPr>
      <w:tblGrid>
        <w:gridCol w:w="3349"/>
        <w:gridCol w:w="3454"/>
        <w:gridCol w:w="2836"/>
      </w:tblGrid>
      <w:tr w:rsidR="000E6FD9">
        <w:trPr>
          <w:cantSplit/>
          <w:trHeight w:val="1399"/>
        </w:trPr>
        <w:tc>
          <w:tcPr>
            <w:tcW w:w="9639" w:type="dxa"/>
            <w:gridSpan w:val="3"/>
            <w:tcBorders>
              <w:top w:val="single" w:sz="24" w:space="0" w:color="00000A"/>
              <w:bottom w:val="single" w:sz="24" w:space="0" w:color="00000A"/>
            </w:tcBorders>
            <w:shd w:val="clear" w:color="auto" w:fill="auto"/>
            <w:vAlign w:val="center"/>
          </w:tcPr>
          <w:p w:rsidR="000E6FD9" w:rsidRDefault="00233458">
            <w:pPr>
              <w:pStyle w:val="FR1"/>
              <w:spacing w:line="360" w:lineRule="auto"/>
              <w:ind w:left="0" w:right="0"/>
              <w:rPr>
                <w:rFonts w:ascii="Arial" w:hAnsi="Arial" w:cs="Arial"/>
                <w:b/>
                <w:caps/>
                <w:sz w:val="24"/>
                <w:szCs w:val="24"/>
              </w:rPr>
            </w:pPr>
            <w:r>
              <w:rPr>
                <w:rFonts w:ascii="Arial" w:hAnsi="Arial" w:cs="Arial"/>
                <w:b/>
                <w:caps/>
                <w:sz w:val="24"/>
                <w:szCs w:val="24"/>
              </w:rPr>
              <w:t>Федеральное агентство</w:t>
            </w:r>
          </w:p>
          <w:p w:rsidR="000E6FD9" w:rsidRDefault="00233458">
            <w:pPr>
              <w:pStyle w:val="FR1"/>
              <w:spacing w:line="240" w:lineRule="auto"/>
              <w:ind w:left="0" w:right="0" w:firstLine="0"/>
              <w:rPr>
                <w:b/>
                <w:caps/>
                <w:sz w:val="20"/>
              </w:rPr>
            </w:pPr>
            <w:r>
              <w:rPr>
                <w:rFonts w:ascii="Arial" w:hAnsi="Arial" w:cs="Arial"/>
                <w:b/>
                <w:caps/>
                <w:sz w:val="24"/>
                <w:szCs w:val="24"/>
              </w:rPr>
              <w:t>по техническому регулированию И МЕТРОЛОГИИ</w:t>
            </w:r>
          </w:p>
        </w:tc>
      </w:tr>
      <w:tr w:rsidR="000E6FD9">
        <w:trPr>
          <w:cantSplit/>
          <w:trHeight w:val="2170"/>
        </w:trPr>
        <w:tc>
          <w:tcPr>
            <w:tcW w:w="3349" w:type="dxa"/>
            <w:tcBorders>
              <w:bottom w:val="single" w:sz="8" w:space="0" w:color="00000A"/>
            </w:tcBorders>
            <w:shd w:val="clear" w:color="auto" w:fill="auto"/>
          </w:tcPr>
          <w:p w:rsidR="000E6FD9" w:rsidRDefault="00233458">
            <w:pPr>
              <w:pStyle w:val="FR1"/>
              <w:spacing w:line="360" w:lineRule="auto"/>
              <w:ind w:left="0" w:right="0"/>
              <w:rPr>
                <w:b/>
                <w:sz w:val="22"/>
              </w:rPr>
            </w:pPr>
            <w:r>
              <w:rPr>
                <w:b/>
                <w:sz w:val="22"/>
              </w:rPr>
              <w:object w:dxaOrig="2629"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o:spid="_x0000_i1025" type="#_x0000_t75" style="width:131.25pt;height:1in" o:ole="">
                  <v:imagedata r:id="rId10" o:title=""/>
                </v:shape>
                <o:OLEObject Type="Embed" ProgID="Word.Document.8" ShapeID="ole_rId2" DrawAspect="Content" ObjectID="_1652536886" r:id="rId11"/>
              </w:object>
            </w:r>
          </w:p>
        </w:tc>
        <w:tc>
          <w:tcPr>
            <w:tcW w:w="3454" w:type="dxa"/>
            <w:tcBorders>
              <w:bottom w:val="single" w:sz="8" w:space="0" w:color="00000A"/>
            </w:tcBorders>
            <w:shd w:val="clear" w:color="auto" w:fill="auto"/>
            <w:vAlign w:val="center"/>
          </w:tcPr>
          <w:p w:rsidR="000E6FD9" w:rsidRDefault="00233458">
            <w:pPr>
              <w:pStyle w:val="FR1"/>
              <w:spacing w:line="240" w:lineRule="auto"/>
              <w:ind w:left="0" w:right="0" w:firstLine="0"/>
              <w:rPr>
                <w:b/>
                <w:sz w:val="22"/>
                <w:lang w:val="en-GB"/>
              </w:rPr>
            </w:pPr>
            <w:r>
              <w:rPr>
                <w:rFonts w:ascii="Arial" w:hAnsi="Arial" w:cs="Arial"/>
                <w:b/>
                <w:caps/>
                <w:spacing w:val="70"/>
                <w:sz w:val="24"/>
              </w:rPr>
              <w:t>национальныЙ СТАНДАРТ РОССИЙСКОЙ ФЕДЕРАЦИИ</w:t>
            </w:r>
          </w:p>
        </w:tc>
        <w:tc>
          <w:tcPr>
            <w:tcW w:w="2836" w:type="dxa"/>
            <w:tcBorders>
              <w:bottom w:val="single" w:sz="8" w:space="0" w:color="00000A"/>
            </w:tcBorders>
            <w:shd w:val="clear" w:color="auto" w:fill="auto"/>
            <w:vAlign w:val="center"/>
          </w:tcPr>
          <w:p w:rsidR="000E6FD9" w:rsidRDefault="00233458">
            <w:pPr>
              <w:widowControl w:val="0"/>
              <w:ind w:left="142"/>
            </w:pPr>
            <w:r>
              <w:rPr>
                <w:rFonts w:ascii="Arial" w:hAnsi="Arial"/>
                <w:b/>
                <w:sz w:val="40"/>
                <w:szCs w:val="40"/>
              </w:rPr>
              <w:t>ГОСТ Р ИСО</w:t>
            </w:r>
          </w:p>
          <w:p w:rsidR="000E6FD9" w:rsidRDefault="00233458">
            <w:pPr>
              <w:widowControl w:val="0"/>
              <w:ind w:left="142"/>
            </w:pPr>
            <w:r>
              <w:rPr>
                <w:rFonts w:ascii="Arial" w:hAnsi="Arial"/>
                <w:b/>
                <w:sz w:val="40"/>
                <w:szCs w:val="40"/>
              </w:rPr>
              <w:t>20166-2</w:t>
            </w:r>
            <w:r>
              <w:rPr>
                <w:rFonts w:ascii="Arial" w:hAnsi="Arial" w:cs="Arial"/>
                <w:b/>
                <w:sz w:val="40"/>
                <w:szCs w:val="40"/>
              </w:rPr>
              <w:t>–</w:t>
            </w:r>
          </w:p>
          <w:p w:rsidR="000E6FD9" w:rsidRDefault="00233458">
            <w:pPr>
              <w:widowControl w:val="0"/>
              <w:ind w:left="142"/>
            </w:pPr>
            <w:r>
              <w:rPr>
                <w:rFonts w:ascii="Arial" w:hAnsi="Arial" w:cs="Arial"/>
                <w:b/>
                <w:sz w:val="40"/>
                <w:szCs w:val="40"/>
              </w:rPr>
              <w:t>20ХХ</w:t>
            </w:r>
          </w:p>
          <w:p w:rsidR="000E6FD9" w:rsidRDefault="00233458">
            <w:pPr>
              <w:tabs>
                <w:tab w:val="left" w:pos="709"/>
                <w:tab w:val="center" w:pos="4677"/>
                <w:tab w:val="right" w:pos="9355"/>
              </w:tabs>
              <w:ind w:firstLine="142"/>
              <w:rPr>
                <w:rFonts w:ascii="Arial" w:hAnsi="Arial" w:cs="Arial"/>
                <w:i/>
              </w:rPr>
            </w:pPr>
            <w:r>
              <w:rPr>
                <w:rFonts w:ascii="Arial" w:hAnsi="Arial" w:cs="Arial"/>
                <w:i/>
              </w:rPr>
              <w:t>(проект, 1 редакция)</w:t>
            </w:r>
          </w:p>
        </w:tc>
      </w:tr>
    </w:tbl>
    <w:p w:rsidR="000E6FD9" w:rsidRDefault="000E6FD9">
      <w:pPr>
        <w:widowControl w:val="0"/>
        <w:jc w:val="center"/>
        <w:rPr>
          <w:rFonts w:ascii="Arial" w:hAnsi="Arial" w:cs="Arial"/>
          <w:b/>
          <w:bCs/>
        </w:rPr>
      </w:pPr>
    </w:p>
    <w:p w:rsidR="000E6FD9" w:rsidRDefault="00233458" w:rsidP="00D76FBB">
      <w:pPr>
        <w:spacing w:after="0"/>
        <w:jc w:val="center"/>
        <w:rPr>
          <w:rFonts w:ascii="Arial" w:hAnsi="Arial" w:cs="Arial"/>
          <w:b/>
          <w:sz w:val="32"/>
          <w:szCs w:val="32"/>
        </w:rPr>
      </w:pPr>
      <w:r>
        <w:rPr>
          <w:rFonts w:ascii="Arial" w:hAnsi="Arial" w:cs="Arial"/>
          <w:b/>
          <w:sz w:val="32"/>
          <w:szCs w:val="32"/>
        </w:rPr>
        <w:t xml:space="preserve">Молекулярные диагностические исследования </w:t>
      </w:r>
      <w:proofErr w:type="spellStart"/>
      <w:r>
        <w:rPr>
          <w:rFonts w:ascii="Arial" w:hAnsi="Arial" w:cs="Arial"/>
          <w:b/>
          <w:sz w:val="32"/>
          <w:szCs w:val="32"/>
        </w:rPr>
        <w:t>in</w:t>
      </w:r>
      <w:proofErr w:type="spellEnd"/>
      <w:r>
        <w:rPr>
          <w:rFonts w:ascii="Arial" w:hAnsi="Arial" w:cs="Arial"/>
          <w:b/>
          <w:sz w:val="32"/>
          <w:szCs w:val="32"/>
        </w:rPr>
        <w:t xml:space="preserve"> </w:t>
      </w:r>
      <w:proofErr w:type="spellStart"/>
      <w:r>
        <w:rPr>
          <w:rFonts w:ascii="Arial" w:hAnsi="Arial" w:cs="Arial"/>
          <w:b/>
          <w:sz w:val="32"/>
          <w:szCs w:val="32"/>
        </w:rPr>
        <w:t>vitro</w:t>
      </w:r>
      <w:proofErr w:type="spellEnd"/>
    </w:p>
    <w:p w:rsidR="00D76FBB" w:rsidRDefault="00D76FBB" w:rsidP="00D76FBB">
      <w:pPr>
        <w:spacing w:after="0"/>
        <w:jc w:val="center"/>
        <w:rPr>
          <w:rFonts w:ascii="Arial" w:hAnsi="Arial" w:cs="Arial"/>
          <w:b/>
          <w:sz w:val="32"/>
          <w:szCs w:val="32"/>
        </w:rPr>
      </w:pPr>
    </w:p>
    <w:p w:rsidR="000E6FD9" w:rsidRDefault="00233458" w:rsidP="00E10815">
      <w:pPr>
        <w:spacing w:after="0"/>
        <w:ind w:left="-142" w:right="-144"/>
        <w:jc w:val="center"/>
        <w:rPr>
          <w:rFonts w:ascii="Arial" w:hAnsi="Arial" w:cs="Arial"/>
          <w:b/>
          <w:sz w:val="32"/>
          <w:szCs w:val="32"/>
        </w:rPr>
      </w:pPr>
      <w:r>
        <w:rPr>
          <w:rFonts w:ascii="Arial" w:hAnsi="Arial" w:cs="Arial"/>
          <w:b/>
          <w:sz w:val="32"/>
          <w:szCs w:val="32"/>
        </w:rPr>
        <w:t>Технические условия на процессы перед исследовани</w:t>
      </w:r>
      <w:r w:rsidR="00E10815">
        <w:rPr>
          <w:rFonts w:ascii="Arial" w:hAnsi="Arial" w:cs="Arial"/>
          <w:b/>
          <w:sz w:val="32"/>
          <w:szCs w:val="32"/>
        </w:rPr>
        <w:t>я</w:t>
      </w:r>
      <w:r>
        <w:rPr>
          <w:rFonts w:ascii="Arial" w:hAnsi="Arial" w:cs="Arial"/>
          <w:b/>
          <w:sz w:val="32"/>
          <w:szCs w:val="32"/>
        </w:rPr>
        <w:t>м</w:t>
      </w:r>
      <w:r w:rsidR="00E10815">
        <w:rPr>
          <w:rFonts w:ascii="Arial" w:hAnsi="Arial" w:cs="Arial"/>
          <w:b/>
          <w:sz w:val="32"/>
          <w:szCs w:val="32"/>
        </w:rPr>
        <w:t>и</w:t>
      </w:r>
      <w:r>
        <w:rPr>
          <w:rFonts w:ascii="Arial" w:hAnsi="Arial" w:cs="Arial"/>
          <w:b/>
          <w:sz w:val="32"/>
          <w:szCs w:val="32"/>
        </w:rPr>
        <w:t xml:space="preserve"> тканей с </w:t>
      </w:r>
      <w:proofErr w:type="gramStart"/>
      <w:r>
        <w:rPr>
          <w:rFonts w:ascii="Arial" w:hAnsi="Arial" w:cs="Arial"/>
          <w:b/>
          <w:sz w:val="32"/>
          <w:szCs w:val="32"/>
        </w:rPr>
        <w:t>фиксированной</w:t>
      </w:r>
      <w:proofErr w:type="gramEnd"/>
      <w:r>
        <w:rPr>
          <w:rFonts w:ascii="Arial" w:hAnsi="Arial" w:cs="Arial"/>
          <w:b/>
          <w:sz w:val="32"/>
          <w:szCs w:val="32"/>
        </w:rPr>
        <w:t xml:space="preserve"> </w:t>
      </w:r>
      <w:r w:rsidR="00D76FBB">
        <w:rPr>
          <w:rFonts w:ascii="Arial" w:hAnsi="Arial" w:cs="Arial"/>
          <w:b/>
          <w:sz w:val="32"/>
          <w:szCs w:val="32"/>
        </w:rPr>
        <w:t>формалином</w:t>
      </w:r>
      <w:r>
        <w:rPr>
          <w:rFonts w:ascii="Arial" w:hAnsi="Arial" w:cs="Arial"/>
          <w:b/>
          <w:sz w:val="32"/>
          <w:szCs w:val="32"/>
        </w:rPr>
        <w:t xml:space="preserve"> и с парафином (FFPE)</w:t>
      </w:r>
    </w:p>
    <w:p w:rsidR="000E6FD9" w:rsidRDefault="000E6FD9" w:rsidP="00D76FBB">
      <w:pPr>
        <w:spacing w:after="0"/>
        <w:jc w:val="center"/>
        <w:rPr>
          <w:rFonts w:ascii="Arial" w:hAnsi="Arial" w:cs="Arial"/>
          <w:b/>
          <w:bCs/>
          <w:sz w:val="32"/>
          <w:szCs w:val="32"/>
        </w:rPr>
      </w:pPr>
    </w:p>
    <w:p w:rsidR="000E6FD9" w:rsidRDefault="00233458" w:rsidP="00D76FBB">
      <w:pPr>
        <w:spacing w:after="0"/>
        <w:jc w:val="center"/>
        <w:rPr>
          <w:sz w:val="32"/>
          <w:szCs w:val="32"/>
          <w:lang w:val="en-US"/>
        </w:rPr>
      </w:pPr>
      <w:r>
        <w:rPr>
          <w:rFonts w:ascii="Arial" w:hAnsi="Arial" w:cs="Arial"/>
          <w:b/>
          <w:bCs/>
          <w:sz w:val="32"/>
          <w:szCs w:val="32"/>
        </w:rPr>
        <w:t>Часть</w:t>
      </w:r>
      <w:r>
        <w:rPr>
          <w:rFonts w:ascii="Arial" w:hAnsi="Arial" w:cs="Arial"/>
          <w:b/>
          <w:bCs/>
          <w:sz w:val="32"/>
          <w:szCs w:val="32"/>
          <w:lang w:val="en-US"/>
        </w:rPr>
        <w:t xml:space="preserve"> 2</w:t>
      </w:r>
    </w:p>
    <w:p w:rsidR="000E6FD9" w:rsidRDefault="000E6FD9" w:rsidP="00D76FBB">
      <w:pPr>
        <w:spacing w:after="0"/>
        <w:jc w:val="center"/>
        <w:rPr>
          <w:rFonts w:ascii="Arial" w:hAnsi="Arial" w:cs="Arial"/>
          <w:b/>
          <w:bCs/>
          <w:caps/>
          <w:sz w:val="32"/>
          <w:szCs w:val="32"/>
          <w:lang w:val="en-US"/>
        </w:rPr>
      </w:pPr>
    </w:p>
    <w:p w:rsidR="000E6FD9" w:rsidRDefault="00233458" w:rsidP="00D76FBB">
      <w:pPr>
        <w:spacing w:after="0"/>
        <w:jc w:val="center"/>
        <w:rPr>
          <w:sz w:val="32"/>
          <w:szCs w:val="32"/>
          <w:lang w:val="en-US"/>
        </w:rPr>
      </w:pPr>
      <w:r>
        <w:rPr>
          <w:rFonts w:ascii="Arial" w:hAnsi="Arial" w:cs="Arial"/>
          <w:b/>
          <w:bCs/>
          <w:sz w:val="32"/>
          <w:szCs w:val="32"/>
        </w:rPr>
        <w:t>Изолированные</w:t>
      </w:r>
      <w:r>
        <w:rPr>
          <w:rFonts w:ascii="Arial" w:hAnsi="Arial" w:cs="Arial"/>
          <w:b/>
          <w:bCs/>
          <w:sz w:val="32"/>
          <w:szCs w:val="32"/>
          <w:lang w:val="en-US"/>
        </w:rPr>
        <w:t xml:space="preserve"> </w:t>
      </w:r>
      <w:r>
        <w:rPr>
          <w:rFonts w:ascii="Arial" w:hAnsi="Arial" w:cs="Arial"/>
          <w:b/>
          <w:bCs/>
          <w:sz w:val="32"/>
          <w:szCs w:val="32"/>
        </w:rPr>
        <w:t>белки</w:t>
      </w:r>
    </w:p>
    <w:p w:rsidR="000E6FD9" w:rsidRDefault="000E6FD9">
      <w:pPr>
        <w:pStyle w:val="af1"/>
        <w:widowControl w:val="0"/>
        <w:ind w:firstLine="0"/>
        <w:jc w:val="center"/>
        <w:rPr>
          <w:rFonts w:ascii="Times New Roman" w:hAnsi="Times New Roman"/>
          <w:b/>
          <w:sz w:val="24"/>
          <w:szCs w:val="24"/>
          <w:lang w:val="en-US"/>
        </w:rPr>
      </w:pPr>
    </w:p>
    <w:p w:rsidR="000E6FD9" w:rsidRDefault="00233458">
      <w:pPr>
        <w:keepNext/>
        <w:keepLines/>
        <w:widowControl w:val="0"/>
        <w:jc w:val="center"/>
        <w:rPr>
          <w:lang w:val="en-US"/>
        </w:rPr>
      </w:pPr>
      <w:r>
        <w:rPr>
          <w:rFonts w:ascii="Arial" w:hAnsi="Arial" w:cs="Arial"/>
          <w:b/>
          <w:bCs/>
          <w:lang w:val="en-US"/>
        </w:rPr>
        <w:t xml:space="preserve">(ISO 20166-2:2018, Molecular in vitro diagnostic examinations — Specifications for pre-examination processes for formalin-fixed and paraffin-embedded (FFPE) tissue — Part 2: Isolated proteins, </w:t>
      </w:r>
      <w:r>
        <w:rPr>
          <w:rFonts w:ascii="Arial" w:hAnsi="Arial" w:cs="Arial"/>
          <w:b/>
          <w:lang w:val="en-US"/>
        </w:rPr>
        <w:t>IDT)</w:t>
      </w:r>
    </w:p>
    <w:p w:rsidR="000E6FD9" w:rsidRDefault="000E6FD9">
      <w:pPr>
        <w:pStyle w:val="FR1"/>
        <w:spacing w:line="360" w:lineRule="auto"/>
        <w:ind w:left="0" w:right="0" w:firstLine="0"/>
        <w:rPr>
          <w:b/>
          <w:sz w:val="24"/>
          <w:szCs w:val="24"/>
          <w:lang w:val="en-US"/>
        </w:rPr>
      </w:pPr>
    </w:p>
    <w:p w:rsidR="000E6FD9" w:rsidRDefault="00233458">
      <w:pPr>
        <w:pStyle w:val="FR1"/>
        <w:keepLines/>
        <w:spacing w:line="240" w:lineRule="auto"/>
        <w:ind w:left="0" w:right="0" w:firstLine="0"/>
        <w:rPr>
          <w:sz w:val="20"/>
        </w:rPr>
      </w:pPr>
      <w:r>
        <w:rPr>
          <w:rFonts w:ascii="Arial" w:hAnsi="Arial" w:cs="Arial"/>
          <w:bCs/>
          <w:i/>
          <w:sz w:val="22"/>
          <w:szCs w:val="22"/>
        </w:rPr>
        <w:t>Настоящий проект стандарта не подлежит применению до его принятия</w:t>
      </w:r>
    </w:p>
    <w:p w:rsidR="000E6FD9" w:rsidRDefault="000E6FD9">
      <w:pPr>
        <w:pStyle w:val="FR1"/>
        <w:keepLines/>
        <w:spacing w:line="240" w:lineRule="auto"/>
        <w:ind w:left="0" w:right="0" w:firstLine="0"/>
        <w:rPr>
          <w:b/>
          <w:sz w:val="20"/>
        </w:rPr>
      </w:pPr>
    </w:p>
    <w:p w:rsidR="000E6FD9" w:rsidRDefault="000E6FD9">
      <w:pPr>
        <w:pStyle w:val="FR1"/>
        <w:keepLines/>
        <w:spacing w:line="240" w:lineRule="auto"/>
        <w:ind w:left="0" w:right="0" w:firstLine="0"/>
        <w:rPr>
          <w:b/>
          <w:sz w:val="20"/>
        </w:rPr>
      </w:pPr>
    </w:p>
    <w:p w:rsidR="000E6FD9" w:rsidRDefault="000E6FD9">
      <w:pPr>
        <w:pStyle w:val="FR1"/>
        <w:keepLines/>
        <w:spacing w:line="240" w:lineRule="auto"/>
        <w:ind w:left="0" w:right="0" w:firstLine="0"/>
        <w:rPr>
          <w:b/>
          <w:sz w:val="20"/>
        </w:rPr>
      </w:pPr>
    </w:p>
    <w:p w:rsidR="000E6FD9" w:rsidRDefault="000E6FD9">
      <w:pPr>
        <w:pStyle w:val="FR1"/>
        <w:keepLines/>
        <w:spacing w:line="240" w:lineRule="auto"/>
        <w:ind w:left="0" w:right="0" w:firstLine="0"/>
        <w:rPr>
          <w:b/>
          <w:sz w:val="20"/>
        </w:rPr>
      </w:pPr>
    </w:p>
    <w:p w:rsidR="000E6FD9" w:rsidRDefault="000E6FD9">
      <w:pPr>
        <w:pStyle w:val="FR1"/>
        <w:keepLines/>
        <w:spacing w:line="240" w:lineRule="auto"/>
        <w:ind w:left="0" w:right="0" w:firstLine="0"/>
        <w:rPr>
          <w:b/>
          <w:sz w:val="20"/>
        </w:rPr>
      </w:pPr>
    </w:p>
    <w:p w:rsidR="000E6FD9" w:rsidRDefault="000E6FD9">
      <w:pPr>
        <w:pStyle w:val="FR1"/>
        <w:keepLines/>
        <w:spacing w:line="240" w:lineRule="auto"/>
        <w:ind w:left="0" w:right="0" w:firstLine="0"/>
        <w:rPr>
          <w:b/>
          <w:sz w:val="20"/>
        </w:rPr>
      </w:pPr>
    </w:p>
    <w:p w:rsidR="000E6FD9" w:rsidRDefault="00233458" w:rsidP="00D76FBB">
      <w:pPr>
        <w:pStyle w:val="FR1"/>
        <w:keepLines/>
        <w:spacing w:after="0" w:line="240" w:lineRule="auto"/>
        <w:ind w:left="0" w:right="0" w:firstLine="0"/>
        <w:rPr>
          <w:rFonts w:ascii="Arial" w:hAnsi="Arial" w:cs="Arial"/>
          <w:b/>
          <w:sz w:val="22"/>
          <w:szCs w:val="22"/>
        </w:rPr>
      </w:pPr>
      <w:r>
        <w:rPr>
          <w:rFonts w:ascii="Arial" w:hAnsi="Arial" w:cs="Arial"/>
          <w:b/>
          <w:sz w:val="22"/>
          <w:szCs w:val="22"/>
        </w:rPr>
        <w:t>Москва</w:t>
      </w:r>
    </w:p>
    <w:p w:rsidR="000E6FD9" w:rsidRDefault="00233458" w:rsidP="00D76FBB">
      <w:pPr>
        <w:pStyle w:val="FR1"/>
        <w:keepLines/>
        <w:spacing w:after="0" w:line="240" w:lineRule="auto"/>
        <w:ind w:left="0" w:right="0" w:firstLine="0"/>
        <w:rPr>
          <w:rFonts w:ascii="Arial" w:hAnsi="Arial" w:cs="Arial"/>
          <w:b/>
          <w:sz w:val="22"/>
          <w:szCs w:val="22"/>
        </w:rPr>
      </w:pPr>
      <w:r>
        <w:rPr>
          <w:rFonts w:ascii="Arial" w:hAnsi="Arial" w:cs="Arial"/>
          <w:b/>
          <w:sz w:val="22"/>
          <w:szCs w:val="22"/>
        </w:rPr>
        <w:t>Стандартинформ</w:t>
      </w:r>
    </w:p>
    <w:p w:rsidR="000E6FD9" w:rsidRDefault="00233458" w:rsidP="00D76FBB">
      <w:pPr>
        <w:pStyle w:val="FR1"/>
        <w:keepLines/>
        <w:spacing w:after="0" w:line="360" w:lineRule="auto"/>
        <w:ind w:left="0" w:right="0" w:firstLine="0"/>
        <w:rPr>
          <w:rStyle w:val="extended-textfull"/>
        </w:rPr>
      </w:pPr>
      <w:r>
        <w:rPr>
          <w:rFonts w:ascii="Arial" w:hAnsi="Arial" w:cs="Arial"/>
          <w:b/>
          <w:sz w:val="22"/>
          <w:szCs w:val="22"/>
        </w:rPr>
        <w:t>20</w:t>
      </w:r>
      <w:r>
        <w:rPr>
          <w:rFonts w:ascii="Arial" w:hAnsi="Arial" w:cs="Arial"/>
          <w:b/>
          <w:sz w:val="22"/>
          <w:szCs w:val="22"/>
          <w:lang w:val="en-US"/>
        </w:rPr>
        <w:t>20</w:t>
      </w:r>
      <w:r>
        <w:br w:type="page"/>
      </w:r>
    </w:p>
    <w:p w:rsidR="000E6FD9" w:rsidRDefault="00233458">
      <w:pPr>
        <w:pStyle w:val="af4"/>
        <w:spacing w:after="240"/>
        <w:jc w:val="center"/>
        <w:rPr>
          <w:rFonts w:ascii="Arial" w:hAnsi="Arial" w:cs="Arial"/>
          <w:b/>
        </w:rPr>
      </w:pPr>
      <w:bookmarkStart w:id="0" w:name="_Toc487108436"/>
      <w:bookmarkStart w:id="1" w:name="_Toc309995717"/>
      <w:bookmarkStart w:id="2" w:name="_Toc487115990"/>
      <w:bookmarkStart w:id="3" w:name="_Toc488137992"/>
      <w:bookmarkEnd w:id="0"/>
      <w:bookmarkEnd w:id="1"/>
      <w:bookmarkEnd w:id="2"/>
      <w:bookmarkEnd w:id="3"/>
      <w:r>
        <w:rPr>
          <w:rFonts w:ascii="Arial" w:hAnsi="Arial" w:cs="Arial"/>
          <w:b/>
        </w:rPr>
        <w:lastRenderedPageBreak/>
        <w:t>Предисловие</w:t>
      </w:r>
    </w:p>
    <w:p w:rsidR="000E6FD9" w:rsidRDefault="00D76FBB">
      <w:pPr>
        <w:widowControl w:val="0"/>
        <w:numPr>
          <w:ilvl w:val="0"/>
          <w:numId w:val="1"/>
        </w:numPr>
        <w:tabs>
          <w:tab w:val="left" w:pos="928"/>
        </w:tabs>
        <w:spacing w:line="312" w:lineRule="auto"/>
        <w:ind w:firstLine="567"/>
        <w:jc w:val="both"/>
        <w:rPr>
          <w:rFonts w:ascii="Arial" w:eastAsia="Calibri" w:hAnsi="Arial" w:cs="Arial"/>
          <w:sz w:val="22"/>
          <w:szCs w:val="22"/>
          <w:lang w:eastAsia="en-US"/>
        </w:rPr>
      </w:pPr>
      <w:r>
        <w:rPr>
          <w:rFonts w:ascii="Arial" w:eastAsia="Calibri" w:hAnsi="Arial" w:cs="Arial"/>
          <w:sz w:val="22"/>
          <w:szCs w:val="22"/>
          <w:lang w:eastAsia="en-US"/>
        </w:rPr>
        <w:t>ПОДГОТОВЛЕН Ассоциацией</w:t>
      </w:r>
      <w:r w:rsidR="00233458">
        <w:rPr>
          <w:rFonts w:ascii="Arial" w:eastAsia="Calibri" w:hAnsi="Arial" w:cs="Arial"/>
          <w:sz w:val="22"/>
          <w:szCs w:val="22"/>
          <w:lang w:eastAsia="en-US"/>
        </w:rPr>
        <w:t xml:space="preserve"> специалистов и организаций лабораторной службы «Федерация лабораторной медицины» (Ассоциация «ФЛМ»),</w:t>
      </w:r>
      <w:r w:rsidR="00233458">
        <w:rPr>
          <w:i/>
          <w:iCs/>
        </w:rPr>
        <w:t xml:space="preserve"> </w:t>
      </w:r>
      <w:r w:rsidR="00233458">
        <w:rPr>
          <w:rFonts w:ascii="Arial" w:hAnsi="Arial" w:cs="Arial"/>
          <w:sz w:val="22"/>
          <w:szCs w:val="22"/>
        </w:rPr>
        <w:t>на основе собственного перевода на русский язык англоязычной версии стандарта, указанного в пункте 4</w:t>
      </w:r>
    </w:p>
    <w:p w:rsidR="000E6FD9" w:rsidRDefault="00233458">
      <w:pPr>
        <w:widowControl w:val="0"/>
        <w:numPr>
          <w:ilvl w:val="0"/>
          <w:numId w:val="1"/>
        </w:numPr>
        <w:tabs>
          <w:tab w:val="left" w:pos="0"/>
          <w:tab w:val="left" w:pos="480"/>
          <w:tab w:val="left" w:pos="928"/>
        </w:tabs>
        <w:spacing w:line="312" w:lineRule="auto"/>
        <w:ind w:firstLine="567"/>
        <w:jc w:val="both"/>
      </w:pPr>
      <w:r>
        <w:rPr>
          <w:rFonts w:ascii="Arial" w:eastAsia="Calibri" w:hAnsi="Arial" w:cs="Arial"/>
          <w:sz w:val="22"/>
          <w:szCs w:val="22"/>
          <w:lang w:eastAsia="en-US"/>
        </w:rPr>
        <w:t>ВНЕСЕН Техническим комитетом</w:t>
      </w:r>
      <w:r>
        <w:rPr>
          <w:rFonts w:ascii="Arial" w:eastAsia="Calibri" w:hAnsi="Arial" w:cs="Arial"/>
          <w:caps/>
          <w:sz w:val="22"/>
          <w:szCs w:val="22"/>
          <w:lang w:eastAsia="en-US"/>
        </w:rPr>
        <w:t xml:space="preserve"> </w:t>
      </w:r>
      <w:r>
        <w:rPr>
          <w:rFonts w:ascii="Arial" w:eastAsia="Calibri" w:hAnsi="Arial" w:cs="Arial"/>
          <w:sz w:val="22"/>
          <w:szCs w:val="22"/>
          <w:lang w:eastAsia="en-US"/>
        </w:rPr>
        <w:t>по стандартизации ТК 380 «Клинические лабораторные исследования и диагностические тест-системы ин витро»</w:t>
      </w:r>
    </w:p>
    <w:p w:rsidR="000E6FD9" w:rsidRDefault="00233458" w:rsidP="00D76FBB">
      <w:pPr>
        <w:widowControl w:val="0"/>
        <w:numPr>
          <w:ilvl w:val="0"/>
          <w:numId w:val="1"/>
        </w:numPr>
        <w:tabs>
          <w:tab w:val="left" w:pos="360"/>
          <w:tab w:val="left" w:pos="928"/>
        </w:tabs>
        <w:spacing w:line="312" w:lineRule="auto"/>
        <w:ind w:firstLine="567"/>
        <w:jc w:val="both"/>
        <w:rPr>
          <w:rFonts w:ascii="Arial" w:eastAsia="Calibri" w:hAnsi="Arial" w:cs="Arial"/>
          <w:sz w:val="22"/>
          <w:szCs w:val="22"/>
          <w:lang w:eastAsia="en-US"/>
        </w:rPr>
      </w:pPr>
      <w:r>
        <w:rPr>
          <w:rFonts w:ascii="Arial" w:eastAsia="Calibri" w:hAnsi="Arial" w:cs="Arial"/>
          <w:caps/>
          <w:sz w:val="22"/>
          <w:szCs w:val="22"/>
          <w:lang w:eastAsia="en-US"/>
        </w:rPr>
        <w:t>Утвержден</w:t>
      </w:r>
      <w:r>
        <w:rPr>
          <w:rFonts w:ascii="Arial" w:eastAsia="Calibri" w:hAnsi="Arial" w:cs="Arial"/>
          <w:sz w:val="22"/>
          <w:szCs w:val="22"/>
          <w:lang w:eastAsia="en-US"/>
        </w:rPr>
        <w:t xml:space="preserve"> И ВВЕДЕН В ДЕЙСТВИЕ Приказом Федерального агентства по техническому регулированию и метрологии от </w:t>
      </w:r>
      <w:r>
        <w:rPr>
          <w:rFonts w:ascii="Arial" w:eastAsia="Calibri" w:hAnsi="Arial" w:cs="Arial"/>
          <w:sz w:val="22"/>
          <w:szCs w:val="22"/>
          <w:lang w:eastAsia="en-US"/>
        </w:rPr>
        <w:tab/>
        <w:t xml:space="preserve">  </w:t>
      </w:r>
      <w:r>
        <w:rPr>
          <w:rFonts w:ascii="Arial" w:eastAsia="Calibri" w:hAnsi="Arial" w:cs="Arial"/>
          <w:sz w:val="22"/>
          <w:szCs w:val="22"/>
          <w:lang w:eastAsia="en-US"/>
        </w:rPr>
        <w:tab/>
        <w:t xml:space="preserve">    </w:t>
      </w:r>
      <w:r>
        <w:rPr>
          <w:rFonts w:ascii="Arial" w:eastAsia="Calibri" w:hAnsi="Arial" w:cs="Arial"/>
          <w:sz w:val="22"/>
          <w:szCs w:val="22"/>
          <w:lang w:eastAsia="en-US"/>
        </w:rPr>
        <w:tab/>
        <w:t xml:space="preserve">  20   г. № </w:t>
      </w:r>
      <w:r>
        <w:rPr>
          <w:rFonts w:ascii="Arial" w:eastAsia="Calibri" w:hAnsi="Arial" w:cs="Arial"/>
          <w:sz w:val="22"/>
          <w:szCs w:val="22"/>
          <w:lang w:eastAsia="en-US"/>
        </w:rPr>
        <w:tab/>
      </w:r>
      <w:r>
        <w:rPr>
          <w:rFonts w:ascii="Arial" w:eastAsia="Calibri" w:hAnsi="Arial" w:cs="Arial"/>
          <w:sz w:val="22"/>
          <w:szCs w:val="22"/>
          <w:lang w:eastAsia="en-US"/>
        </w:rPr>
        <w:tab/>
      </w:r>
    </w:p>
    <w:p w:rsidR="000E6FD9" w:rsidRDefault="00233458" w:rsidP="00D76FBB">
      <w:pPr>
        <w:widowControl w:val="0"/>
        <w:numPr>
          <w:ilvl w:val="0"/>
          <w:numId w:val="1"/>
        </w:numPr>
        <w:tabs>
          <w:tab w:val="left" w:pos="360"/>
          <w:tab w:val="left" w:pos="928"/>
        </w:tabs>
        <w:spacing w:line="312" w:lineRule="auto"/>
        <w:ind w:firstLine="567"/>
        <w:jc w:val="both"/>
        <w:rPr>
          <w:rFonts w:ascii="Arial" w:hAnsi="Arial" w:cs="Arial"/>
          <w:sz w:val="22"/>
          <w:szCs w:val="22"/>
          <w:lang w:val="en-US"/>
        </w:rPr>
      </w:pPr>
      <w:r>
        <w:rPr>
          <w:rFonts w:ascii="Arial" w:eastAsia="Calibri" w:hAnsi="Arial" w:cs="Arial"/>
          <w:sz w:val="22"/>
          <w:szCs w:val="22"/>
          <w:lang w:eastAsia="en-US"/>
        </w:rPr>
        <w:t>Настоящий стандарт идентичен международному стандарту ИСО</w:t>
      </w:r>
      <w:r>
        <w:rPr>
          <w:rFonts w:ascii="Arial" w:eastAsia="Calibri" w:hAnsi="Arial" w:cs="Arial"/>
          <w:caps/>
          <w:sz w:val="22"/>
          <w:szCs w:val="22"/>
          <w:lang w:eastAsia="en-US"/>
        </w:rPr>
        <w:t xml:space="preserve"> 20166-2:2018</w:t>
      </w:r>
      <w:r>
        <w:rPr>
          <w:rFonts w:ascii="Arial" w:eastAsia="Calibri" w:hAnsi="Arial" w:cs="Arial"/>
          <w:sz w:val="22"/>
          <w:szCs w:val="22"/>
          <w:lang w:eastAsia="en-US"/>
        </w:rPr>
        <w:t xml:space="preserve"> «Молекулярные диагностические исследования in vitro. Технические условия на процессы перед исследованием тканей с фиксированной в формалине и с парафином (FFPE). Часть</w:t>
      </w:r>
      <w:r>
        <w:rPr>
          <w:rFonts w:ascii="Arial" w:eastAsia="Calibri" w:hAnsi="Arial" w:cs="Arial"/>
          <w:sz w:val="22"/>
          <w:szCs w:val="22"/>
          <w:lang w:val="en-US" w:eastAsia="en-US"/>
        </w:rPr>
        <w:t xml:space="preserve"> 2. </w:t>
      </w:r>
      <w:r>
        <w:rPr>
          <w:rFonts w:ascii="Arial" w:eastAsia="Calibri" w:hAnsi="Arial" w:cs="Arial"/>
          <w:sz w:val="22"/>
          <w:szCs w:val="22"/>
          <w:lang w:eastAsia="en-US"/>
        </w:rPr>
        <w:t>Изолированные</w:t>
      </w:r>
      <w:r>
        <w:rPr>
          <w:rFonts w:ascii="Arial" w:eastAsia="Calibri" w:hAnsi="Arial" w:cs="Arial"/>
          <w:sz w:val="22"/>
          <w:szCs w:val="22"/>
          <w:lang w:val="en-US" w:eastAsia="en-US"/>
        </w:rPr>
        <w:t xml:space="preserve"> </w:t>
      </w:r>
      <w:r>
        <w:rPr>
          <w:rFonts w:ascii="Arial" w:eastAsia="Calibri" w:hAnsi="Arial" w:cs="Arial"/>
          <w:sz w:val="22"/>
          <w:szCs w:val="22"/>
          <w:lang w:eastAsia="en-US"/>
        </w:rPr>
        <w:t>белки</w:t>
      </w:r>
      <w:r>
        <w:rPr>
          <w:rFonts w:ascii="Arial" w:eastAsia="Calibri" w:hAnsi="Arial" w:cs="Arial"/>
          <w:sz w:val="22"/>
          <w:szCs w:val="22"/>
          <w:lang w:val="en-US" w:eastAsia="en-US"/>
        </w:rPr>
        <w:t>» (</w:t>
      </w:r>
      <w:r>
        <w:rPr>
          <w:rFonts w:ascii="Arial" w:hAnsi="Arial" w:cs="Arial"/>
          <w:sz w:val="22"/>
          <w:szCs w:val="22"/>
          <w:lang w:val="en-US"/>
        </w:rPr>
        <w:t>ISO 20166-2:2018 «</w:t>
      </w:r>
      <w:r>
        <w:rPr>
          <w:rFonts w:ascii="Arial" w:eastAsia="Calibri" w:hAnsi="Arial" w:cs="Arial"/>
          <w:sz w:val="22"/>
          <w:szCs w:val="22"/>
          <w:lang w:val="en-US" w:eastAsia="en-US"/>
        </w:rPr>
        <w:t>Molecular in vitro diagnostic examinations — Specifications for pre-examination processes for formalin-fixed and paraffin-embedded (FFPE) tissue — Part 2: Isolated proteins</w:t>
      </w:r>
      <w:r>
        <w:rPr>
          <w:rFonts w:ascii="Arial" w:hAnsi="Arial" w:cs="Arial"/>
          <w:sz w:val="22"/>
          <w:szCs w:val="22"/>
          <w:lang w:val="en-US"/>
        </w:rPr>
        <w:t>»</w:t>
      </w:r>
      <w:r>
        <w:rPr>
          <w:rFonts w:ascii="Arial" w:eastAsia="Calibri" w:hAnsi="Arial" w:cs="Arial"/>
          <w:sz w:val="22"/>
          <w:szCs w:val="22"/>
          <w:lang w:val="en-US" w:eastAsia="en-US"/>
        </w:rPr>
        <w:t>, IDT).</w:t>
      </w:r>
    </w:p>
    <w:p w:rsidR="000E6FD9" w:rsidRDefault="00233458" w:rsidP="00D76FBB">
      <w:pPr>
        <w:widowControl w:val="0"/>
        <w:tabs>
          <w:tab w:val="left" w:pos="360"/>
        </w:tabs>
        <w:spacing w:line="312" w:lineRule="auto"/>
        <w:ind w:firstLine="567"/>
        <w:jc w:val="both"/>
        <w:rPr>
          <w:rFonts w:ascii="Arial" w:eastAsia="Calibri" w:hAnsi="Arial" w:cs="Arial"/>
          <w:sz w:val="22"/>
          <w:szCs w:val="22"/>
          <w:lang w:eastAsia="en-US"/>
        </w:rPr>
      </w:pPr>
      <w:r>
        <w:rPr>
          <w:rFonts w:ascii="Arial" w:eastAsia="Calibri" w:hAnsi="Arial" w:cs="Arial"/>
          <w:sz w:val="22"/>
          <w:szCs w:val="22"/>
          <w:lang w:eastAsia="en-US"/>
        </w:rPr>
        <w:t>Международный стандарт разработан Техническим комитетом ISO/TC 212</w:t>
      </w:r>
    </w:p>
    <w:p w:rsidR="000E6FD9" w:rsidRDefault="00233458" w:rsidP="00D76FBB">
      <w:pPr>
        <w:widowControl w:val="0"/>
        <w:tabs>
          <w:tab w:val="left" w:pos="360"/>
        </w:tabs>
        <w:spacing w:line="312" w:lineRule="auto"/>
        <w:ind w:firstLine="567"/>
        <w:jc w:val="both"/>
        <w:rPr>
          <w:rFonts w:ascii="Arial" w:hAnsi="Arial" w:cs="Arial"/>
          <w:sz w:val="22"/>
          <w:szCs w:val="22"/>
        </w:rPr>
      </w:pPr>
      <w:r>
        <w:rPr>
          <w:rFonts w:ascii="Arial" w:hAnsi="Arial" w:cs="Arial"/>
          <w:sz w:val="22"/>
          <w:szCs w:val="22"/>
        </w:rPr>
        <w:t>При применении настоящего стандарта рекомендуется использовать вместо ссылочных международных стандартов соответствующие им национальные стандарты, сведения о которых приведены в дополнительном приложении ДА</w:t>
      </w:r>
    </w:p>
    <w:p w:rsidR="000E6FD9" w:rsidRDefault="00233458">
      <w:pPr>
        <w:widowControl w:val="0"/>
        <w:numPr>
          <w:ilvl w:val="0"/>
          <w:numId w:val="1"/>
        </w:numPr>
        <w:tabs>
          <w:tab w:val="left" w:pos="360"/>
          <w:tab w:val="left" w:pos="928"/>
        </w:tabs>
        <w:spacing w:line="312" w:lineRule="auto"/>
        <w:ind w:firstLine="567"/>
        <w:jc w:val="both"/>
        <w:rPr>
          <w:rFonts w:ascii="Arial" w:eastAsia="Calibri" w:hAnsi="Arial" w:cs="Arial"/>
          <w:sz w:val="22"/>
          <w:szCs w:val="22"/>
          <w:lang w:eastAsia="en-US"/>
        </w:rPr>
      </w:pPr>
      <w:r>
        <w:rPr>
          <w:rFonts w:ascii="Arial" w:hAnsi="Arial" w:cs="Arial"/>
          <w:caps/>
          <w:sz w:val="22"/>
          <w:szCs w:val="22"/>
        </w:rPr>
        <w:t>ВВеден впервые</w:t>
      </w:r>
    </w:p>
    <w:p w:rsidR="000E6FD9" w:rsidRDefault="000E6FD9">
      <w:pPr>
        <w:widowControl w:val="0"/>
        <w:tabs>
          <w:tab w:val="left" w:pos="360"/>
        </w:tabs>
        <w:spacing w:line="312" w:lineRule="auto"/>
        <w:ind w:left="567"/>
        <w:jc w:val="both"/>
        <w:rPr>
          <w:rFonts w:ascii="Arial" w:eastAsia="Calibri" w:hAnsi="Arial" w:cs="Arial"/>
          <w:sz w:val="22"/>
          <w:szCs w:val="22"/>
          <w:lang w:eastAsia="en-US"/>
        </w:rPr>
      </w:pPr>
    </w:p>
    <w:p w:rsidR="000E6FD9" w:rsidRDefault="00233458">
      <w:pPr>
        <w:tabs>
          <w:tab w:val="left" w:pos="360"/>
        </w:tabs>
        <w:spacing w:line="300" w:lineRule="exact"/>
        <w:ind w:firstLine="567"/>
        <w:jc w:val="both"/>
      </w:pPr>
      <w:r>
        <w:rPr>
          <w:rFonts w:ascii="Arial" w:hAnsi="Arial" w:cs="Arial"/>
          <w:i/>
          <w:sz w:val="22"/>
          <w:szCs w:val="22"/>
        </w:rPr>
        <w:t>Правила применения настоящего стандарта установлены в статье 26 Федерального закона от 29 июня 2015 г. № 162-ФЗ «О стандартизации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t>
      </w:r>
      <w:hyperlink r:id="rId12">
        <w:r>
          <w:rPr>
            <w:rStyle w:val="-"/>
            <w:rFonts w:ascii="Arial" w:hAnsi="Arial" w:cs="Arial"/>
            <w:i/>
            <w:color w:val="auto"/>
            <w:sz w:val="22"/>
            <w:szCs w:val="22"/>
          </w:rPr>
          <w:t>www.gost.ru</w:t>
        </w:r>
      </w:hyperlink>
      <w:r>
        <w:rPr>
          <w:rFonts w:ascii="Arial" w:hAnsi="Arial" w:cs="Arial"/>
          <w:i/>
          <w:sz w:val="22"/>
          <w:szCs w:val="22"/>
        </w:rPr>
        <w:t>)</w:t>
      </w:r>
    </w:p>
    <w:p w:rsidR="000E6FD9" w:rsidRDefault="00233458">
      <w:pPr>
        <w:tabs>
          <w:tab w:val="left" w:pos="360"/>
        </w:tabs>
        <w:spacing w:line="360" w:lineRule="exact"/>
        <w:ind w:firstLine="567"/>
        <w:jc w:val="right"/>
      </w:pPr>
      <w:r>
        <w:rPr>
          <w:rFonts w:ascii="Arial" w:eastAsia="Calibri" w:hAnsi="Arial" w:cs="Arial"/>
          <w:sz w:val="22"/>
          <w:szCs w:val="22"/>
          <w:lang w:eastAsia="en-US"/>
        </w:rPr>
        <w:t xml:space="preserve">© </w:t>
      </w:r>
      <w:r>
        <w:rPr>
          <w:rFonts w:ascii="Arial" w:eastAsia="Calibri" w:hAnsi="Arial" w:cs="Arial"/>
          <w:sz w:val="22"/>
          <w:szCs w:val="22"/>
          <w:lang w:val="en-US" w:eastAsia="en-US"/>
        </w:rPr>
        <w:t>ISO</w:t>
      </w:r>
      <w:r>
        <w:rPr>
          <w:rFonts w:ascii="Arial" w:eastAsia="Calibri" w:hAnsi="Arial" w:cs="Arial"/>
          <w:sz w:val="22"/>
          <w:szCs w:val="22"/>
          <w:lang w:eastAsia="en-US"/>
        </w:rPr>
        <w:t>, 2020 – Все права сохраняются</w:t>
      </w:r>
    </w:p>
    <w:p w:rsidR="000E6FD9" w:rsidRDefault="00233458">
      <w:pPr>
        <w:spacing w:line="360" w:lineRule="exact"/>
        <w:ind w:firstLine="567"/>
        <w:jc w:val="right"/>
      </w:pPr>
      <w:r>
        <w:rPr>
          <w:rFonts w:ascii="Symbol" w:eastAsia="Calibri" w:hAnsi="Symbol" w:cs="Arial"/>
          <w:sz w:val="22"/>
          <w:szCs w:val="22"/>
          <w:lang w:eastAsia="en-US"/>
        </w:rPr>
        <w:lastRenderedPageBreak/>
        <w:t></w:t>
      </w:r>
      <w:r>
        <w:rPr>
          <w:rFonts w:ascii="Arial" w:eastAsia="Calibri" w:hAnsi="Arial" w:cs="Arial"/>
          <w:sz w:val="22"/>
          <w:szCs w:val="22"/>
          <w:lang w:eastAsia="en-US"/>
        </w:rPr>
        <w:t xml:space="preserve"> Стандартинформ, оформление, 2020</w:t>
      </w:r>
    </w:p>
    <w:p w:rsidR="000E6FD9" w:rsidRDefault="000E6FD9">
      <w:pPr>
        <w:ind w:firstLine="567"/>
        <w:jc w:val="right"/>
        <w:rPr>
          <w:rFonts w:ascii="Arial" w:eastAsia="Calibri" w:hAnsi="Arial" w:cs="Arial"/>
          <w:sz w:val="22"/>
          <w:szCs w:val="22"/>
          <w:lang w:eastAsia="en-US"/>
        </w:rPr>
      </w:pPr>
    </w:p>
    <w:p w:rsidR="000E6FD9" w:rsidRDefault="00233458">
      <w:pPr>
        <w:widowControl w:val="0"/>
        <w:ind w:firstLine="567"/>
        <w:jc w:val="both"/>
        <w:rPr>
          <w:rFonts w:ascii="Arial" w:eastAsia="Calibri" w:hAnsi="Arial" w:cs="Arial"/>
          <w:sz w:val="22"/>
          <w:szCs w:val="22"/>
          <w:lang w:eastAsia="en-US"/>
        </w:rPr>
      </w:pPr>
      <w:r>
        <w:rPr>
          <w:rFonts w:ascii="Arial" w:eastAsia="Calibri" w:hAnsi="Arial" w:cs="Arial"/>
          <w:sz w:val="22"/>
          <w:szCs w:val="22"/>
          <w:lang w:eastAsia="en-US"/>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r>
        <w:br w:type="page"/>
      </w:r>
    </w:p>
    <w:p w:rsidR="000E6FD9" w:rsidRDefault="00233458">
      <w:pPr>
        <w:pStyle w:val="aff6"/>
        <w:ind w:firstLine="0"/>
        <w:jc w:val="center"/>
        <w:rPr>
          <w:b/>
          <w:sz w:val="28"/>
          <w:szCs w:val="28"/>
        </w:rPr>
      </w:pPr>
      <w:r>
        <w:rPr>
          <w:b/>
          <w:sz w:val="28"/>
          <w:szCs w:val="28"/>
        </w:rPr>
        <w:lastRenderedPageBreak/>
        <w:t>Содержание</w:t>
      </w:r>
    </w:p>
    <w:sdt>
      <w:sdtPr>
        <w:rPr>
          <w:rFonts w:ascii="Times New Roman" w:eastAsia="Times New Roman" w:hAnsi="Times New Roman" w:cs="Times New Roman"/>
          <w:color w:val="auto"/>
          <w:sz w:val="24"/>
          <w:szCs w:val="24"/>
        </w:rPr>
        <w:id w:val="-1239948865"/>
      </w:sdtPr>
      <w:sdtEndPr>
        <w:rPr>
          <w:rFonts w:ascii="Arial" w:hAnsi="Arial" w:cs="Arial"/>
          <w:bCs/>
        </w:rPr>
      </w:sdtEndPr>
      <w:sdtContent>
        <w:p w:rsidR="000E6FD9" w:rsidRDefault="000E6FD9">
          <w:pPr>
            <w:pStyle w:val="18"/>
            <w:rPr>
              <w:color w:val="auto"/>
            </w:rPr>
          </w:pPr>
        </w:p>
        <w:p w:rsidR="000E6FD9" w:rsidRDefault="00233458">
          <w:pPr>
            <w:pStyle w:val="13"/>
            <w:tabs>
              <w:tab w:val="right" w:leader="dot" w:pos="9344"/>
            </w:tabs>
            <w:spacing w:before="0" w:after="0" w:line="360" w:lineRule="auto"/>
            <w:rPr>
              <w:rFonts w:eastAsiaTheme="minorEastAsia"/>
              <w:b w:val="0"/>
              <w:sz w:val="24"/>
              <w:szCs w:val="24"/>
            </w:rPr>
          </w:pPr>
          <w:r>
            <w:rPr>
              <w:b w:val="0"/>
              <w:bCs/>
              <w:sz w:val="24"/>
              <w:szCs w:val="24"/>
            </w:rPr>
            <w:fldChar w:fldCharType="begin"/>
          </w:r>
          <w:r>
            <w:rPr>
              <w:b w:val="0"/>
              <w:bCs/>
              <w:sz w:val="24"/>
              <w:szCs w:val="24"/>
            </w:rPr>
            <w:instrText xml:space="preserve"> TOC \o "1-3" \h \z \u </w:instrText>
          </w:r>
          <w:r>
            <w:rPr>
              <w:b w:val="0"/>
              <w:bCs/>
              <w:sz w:val="24"/>
              <w:szCs w:val="24"/>
            </w:rPr>
            <w:fldChar w:fldCharType="separate"/>
          </w:r>
          <w:hyperlink w:anchor="_Toc40995879" w:history="1">
            <w:r>
              <w:rPr>
                <w:rStyle w:val="afa"/>
                <w:b w:val="0"/>
                <w:sz w:val="24"/>
                <w:szCs w:val="24"/>
              </w:rPr>
              <w:t>Введение</w:t>
            </w:r>
            <w:r>
              <w:rPr>
                <w:b w:val="0"/>
                <w:sz w:val="24"/>
                <w:szCs w:val="24"/>
              </w:rPr>
              <w:tab/>
            </w:r>
            <w:r>
              <w:rPr>
                <w:b w:val="0"/>
                <w:sz w:val="24"/>
                <w:szCs w:val="24"/>
              </w:rPr>
              <w:fldChar w:fldCharType="begin"/>
            </w:r>
            <w:r>
              <w:rPr>
                <w:b w:val="0"/>
                <w:sz w:val="24"/>
                <w:szCs w:val="24"/>
              </w:rPr>
              <w:instrText xml:space="preserve"> PAGEREF _Toc40995879 \h </w:instrText>
            </w:r>
            <w:r>
              <w:rPr>
                <w:b w:val="0"/>
                <w:sz w:val="24"/>
                <w:szCs w:val="24"/>
              </w:rPr>
            </w:r>
            <w:r>
              <w:rPr>
                <w:b w:val="0"/>
                <w:sz w:val="24"/>
                <w:szCs w:val="24"/>
              </w:rPr>
              <w:fldChar w:fldCharType="separate"/>
            </w:r>
            <w:r>
              <w:rPr>
                <w:b w:val="0"/>
                <w:sz w:val="24"/>
                <w:szCs w:val="24"/>
              </w:rPr>
              <w:t>IV</w:t>
            </w:r>
            <w:r>
              <w:rPr>
                <w:b w:val="0"/>
                <w:sz w:val="24"/>
                <w:szCs w:val="24"/>
              </w:rPr>
              <w:fldChar w:fldCharType="end"/>
            </w:r>
          </w:hyperlink>
        </w:p>
        <w:p w:rsidR="000E6FD9" w:rsidRDefault="00E10815">
          <w:pPr>
            <w:pStyle w:val="13"/>
            <w:tabs>
              <w:tab w:val="right" w:leader="dot" w:pos="9344"/>
            </w:tabs>
            <w:spacing w:before="0" w:after="0" w:line="360" w:lineRule="auto"/>
            <w:rPr>
              <w:rFonts w:eastAsiaTheme="minorEastAsia"/>
              <w:b w:val="0"/>
              <w:sz w:val="24"/>
              <w:szCs w:val="24"/>
            </w:rPr>
          </w:pPr>
          <w:hyperlink w:anchor="_Toc40995880" w:history="1">
            <w:r w:rsidR="00233458">
              <w:rPr>
                <w:rStyle w:val="afa"/>
                <w:b w:val="0"/>
                <w:sz w:val="24"/>
                <w:szCs w:val="24"/>
              </w:rPr>
              <w:t>1 Область применения</w:t>
            </w:r>
            <w:r w:rsidR="00233458">
              <w:rPr>
                <w:b w:val="0"/>
                <w:sz w:val="24"/>
                <w:szCs w:val="24"/>
              </w:rPr>
              <w:tab/>
            </w:r>
            <w:r w:rsidR="00233458">
              <w:rPr>
                <w:b w:val="0"/>
                <w:sz w:val="24"/>
                <w:szCs w:val="24"/>
              </w:rPr>
              <w:fldChar w:fldCharType="begin"/>
            </w:r>
            <w:r w:rsidR="00233458">
              <w:rPr>
                <w:b w:val="0"/>
                <w:sz w:val="24"/>
                <w:szCs w:val="24"/>
              </w:rPr>
              <w:instrText xml:space="preserve"> PAGEREF _Toc40995880 \h </w:instrText>
            </w:r>
            <w:r w:rsidR="00233458">
              <w:rPr>
                <w:b w:val="0"/>
                <w:sz w:val="24"/>
                <w:szCs w:val="24"/>
              </w:rPr>
            </w:r>
            <w:r w:rsidR="00233458">
              <w:rPr>
                <w:b w:val="0"/>
                <w:sz w:val="24"/>
                <w:szCs w:val="24"/>
              </w:rPr>
              <w:fldChar w:fldCharType="separate"/>
            </w:r>
            <w:r w:rsidR="00233458">
              <w:rPr>
                <w:b w:val="0"/>
                <w:sz w:val="24"/>
                <w:szCs w:val="24"/>
              </w:rPr>
              <w:t>1</w:t>
            </w:r>
            <w:r w:rsidR="00233458">
              <w:rPr>
                <w:b w:val="0"/>
                <w:sz w:val="24"/>
                <w:szCs w:val="24"/>
              </w:rPr>
              <w:fldChar w:fldCharType="end"/>
            </w:r>
          </w:hyperlink>
        </w:p>
        <w:p w:rsidR="000E6FD9" w:rsidRDefault="00E10815">
          <w:pPr>
            <w:pStyle w:val="13"/>
            <w:tabs>
              <w:tab w:val="right" w:leader="dot" w:pos="9344"/>
            </w:tabs>
            <w:spacing w:before="0" w:after="0" w:line="360" w:lineRule="auto"/>
            <w:rPr>
              <w:rFonts w:eastAsiaTheme="minorEastAsia"/>
              <w:b w:val="0"/>
              <w:sz w:val="24"/>
              <w:szCs w:val="24"/>
            </w:rPr>
          </w:pPr>
          <w:hyperlink w:anchor="_Toc40995881" w:history="1">
            <w:r w:rsidR="00233458">
              <w:rPr>
                <w:rStyle w:val="afa"/>
                <w:b w:val="0"/>
                <w:sz w:val="24"/>
                <w:szCs w:val="24"/>
              </w:rPr>
              <w:t>2 Нормативные ссылки</w:t>
            </w:r>
            <w:r w:rsidR="00233458">
              <w:rPr>
                <w:b w:val="0"/>
                <w:sz w:val="24"/>
                <w:szCs w:val="24"/>
              </w:rPr>
              <w:tab/>
            </w:r>
            <w:r w:rsidR="00233458">
              <w:rPr>
                <w:b w:val="0"/>
                <w:sz w:val="24"/>
                <w:szCs w:val="24"/>
              </w:rPr>
              <w:fldChar w:fldCharType="begin"/>
            </w:r>
            <w:r w:rsidR="00233458">
              <w:rPr>
                <w:b w:val="0"/>
                <w:sz w:val="24"/>
                <w:szCs w:val="24"/>
              </w:rPr>
              <w:instrText xml:space="preserve"> PAGEREF _Toc40995881 \h </w:instrText>
            </w:r>
            <w:r w:rsidR="00233458">
              <w:rPr>
                <w:b w:val="0"/>
                <w:sz w:val="24"/>
                <w:szCs w:val="24"/>
              </w:rPr>
            </w:r>
            <w:r w:rsidR="00233458">
              <w:rPr>
                <w:b w:val="0"/>
                <w:sz w:val="24"/>
                <w:szCs w:val="24"/>
              </w:rPr>
              <w:fldChar w:fldCharType="separate"/>
            </w:r>
            <w:r w:rsidR="00233458">
              <w:rPr>
                <w:b w:val="0"/>
                <w:sz w:val="24"/>
                <w:szCs w:val="24"/>
              </w:rPr>
              <w:t>1</w:t>
            </w:r>
            <w:r w:rsidR="00233458">
              <w:rPr>
                <w:b w:val="0"/>
                <w:sz w:val="24"/>
                <w:szCs w:val="24"/>
              </w:rPr>
              <w:fldChar w:fldCharType="end"/>
            </w:r>
          </w:hyperlink>
        </w:p>
        <w:p w:rsidR="000E6FD9" w:rsidRDefault="00E10815">
          <w:pPr>
            <w:pStyle w:val="13"/>
            <w:tabs>
              <w:tab w:val="right" w:leader="dot" w:pos="9344"/>
            </w:tabs>
            <w:spacing w:before="0" w:after="0" w:line="360" w:lineRule="auto"/>
            <w:rPr>
              <w:rFonts w:eastAsiaTheme="minorEastAsia"/>
              <w:b w:val="0"/>
              <w:sz w:val="24"/>
              <w:szCs w:val="24"/>
            </w:rPr>
          </w:pPr>
          <w:hyperlink w:anchor="_Toc40995882" w:history="1">
            <w:r w:rsidR="00233458">
              <w:rPr>
                <w:rStyle w:val="afa"/>
                <w:b w:val="0"/>
                <w:sz w:val="24"/>
                <w:szCs w:val="24"/>
              </w:rPr>
              <w:t>3 Термины и определения</w:t>
            </w:r>
            <w:r w:rsidR="00233458">
              <w:rPr>
                <w:b w:val="0"/>
                <w:sz w:val="24"/>
                <w:szCs w:val="24"/>
              </w:rPr>
              <w:tab/>
            </w:r>
            <w:r w:rsidR="00233458">
              <w:rPr>
                <w:b w:val="0"/>
                <w:sz w:val="24"/>
                <w:szCs w:val="24"/>
              </w:rPr>
              <w:fldChar w:fldCharType="begin"/>
            </w:r>
            <w:r w:rsidR="00233458">
              <w:rPr>
                <w:b w:val="0"/>
                <w:sz w:val="24"/>
                <w:szCs w:val="24"/>
              </w:rPr>
              <w:instrText xml:space="preserve"> PAGEREF _Toc40995882 \h </w:instrText>
            </w:r>
            <w:r w:rsidR="00233458">
              <w:rPr>
                <w:b w:val="0"/>
                <w:sz w:val="24"/>
                <w:szCs w:val="24"/>
              </w:rPr>
            </w:r>
            <w:r w:rsidR="00233458">
              <w:rPr>
                <w:b w:val="0"/>
                <w:sz w:val="24"/>
                <w:szCs w:val="24"/>
              </w:rPr>
              <w:fldChar w:fldCharType="separate"/>
            </w:r>
            <w:r w:rsidR="00233458">
              <w:rPr>
                <w:b w:val="0"/>
                <w:sz w:val="24"/>
                <w:szCs w:val="24"/>
              </w:rPr>
              <w:t>2</w:t>
            </w:r>
            <w:r w:rsidR="00233458">
              <w:rPr>
                <w:b w:val="0"/>
                <w:sz w:val="24"/>
                <w:szCs w:val="24"/>
              </w:rPr>
              <w:fldChar w:fldCharType="end"/>
            </w:r>
          </w:hyperlink>
        </w:p>
        <w:p w:rsidR="000E6FD9" w:rsidRDefault="00E10815">
          <w:pPr>
            <w:pStyle w:val="13"/>
            <w:tabs>
              <w:tab w:val="right" w:leader="dot" w:pos="9344"/>
            </w:tabs>
            <w:spacing w:before="0" w:after="0" w:line="360" w:lineRule="auto"/>
            <w:rPr>
              <w:rFonts w:eastAsiaTheme="minorEastAsia"/>
              <w:b w:val="0"/>
              <w:sz w:val="24"/>
              <w:szCs w:val="24"/>
            </w:rPr>
          </w:pPr>
          <w:hyperlink w:anchor="_Toc40995883" w:history="1">
            <w:r w:rsidR="00233458">
              <w:rPr>
                <w:rStyle w:val="afa"/>
                <w:b w:val="0"/>
                <w:sz w:val="24"/>
                <w:szCs w:val="24"/>
              </w:rPr>
              <w:t>4 Общие аспекты</w:t>
            </w:r>
            <w:r w:rsidR="00233458">
              <w:rPr>
                <w:b w:val="0"/>
                <w:sz w:val="24"/>
                <w:szCs w:val="24"/>
              </w:rPr>
              <w:tab/>
            </w:r>
            <w:r w:rsidR="00233458">
              <w:rPr>
                <w:b w:val="0"/>
                <w:sz w:val="24"/>
                <w:szCs w:val="24"/>
              </w:rPr>
              <w:fldChar w:fldCharType="begin"/>
            </w:r>
            <w:r w:rsidR="00233458">
              <w:rPr>
                <w:b w:val="0"/>
                <w:sz w:val="24"/>
                <w:szCs w:val="24"/>
              </w:rPr>
              <w:instrText xml:space="preserve"> PAGEREF _Toc40995883 \h </w:instrText>
            </w:r>
            <w:r w:rsidR="00233458">
              <w:rPr>
                <w:b w:val="0"/>
                <w:sz w:val="24"/>
                <w:szCs w:val="24"/>
              </w:rPr>
            </w:r>
            <w:r w:rsidR="00233458">
              <w:rPr>
                <w:b w:val="0"/>
                <w:sz w:val="24"/>
                <w:szCs w:val="24"/>
              </w:rPr>
              <w:fldChar w:fldCharType="separate"/>
            </w:r>
            <w:r w:rsidR="00233458">
              <w:rPr>
                <w:b w:val="0"/>
                <w:sz w:val="24"/>
                <w:szCs w:val="24"/>
              </w:rPr>
              <w:t>6</w:t>
            </w:r>
            <w:r w:rsidR="00233458">
              <w:rPr>
                <w:b w:val="0"/>
                <w:sz w:val="24"/>
                <w:szCs w:val="24"/>
              </w:rPr>
              <w:fldChar w:fldCharType="end"/>
            </w:r>
          </w:hyperlink>
        </w:p>
        <w:p w:rsidR="000E6FD9" w:rsidRDefault="00E10815">
          <w:pPr>
            <w:pStyle w:val="13"/>
            <w:tabs>
              <w:tab w:val="right" w:leader="dot" w:pos="9344"/>
            </w:tabs>
            <w:spacing w:before="0" w:after="0" w:line="360" w:lineRule="auto"/>
            <w:rPr>
              <w:rFonts w:eastAsiaTheme="minorEastAsia"/>
              <w:b w:val="0"/>
              <w:sz w:val="24"/>
              <w:szCs w:val="24"/>
            </w:rPr>
          </w:pPr>
          <w:hyperlink w:anchor="_Toc40995884" w:history="1">
            <w:r w:rsidR="00233458">
              <w:rPr>
                <w:rStyle w:val="afa"/>
                <w:b w:val="0"/>
                <w:sz w:val="24"/>
                <w:szCs w:val="24"/>
              </w:rPr>
              <w:t>5 Вне лаборатории</w:t>
            </w:r>
            <w:r w:rsidR="00233458">
              <w:rPr>
                <w:b w:val="0"/>
                <w:sz w:val="24"/>
                <w:szCs w:val="24"/>
              </w:rPr>
              <w:tab/>
            </w:r>
            <w:r w:rsidR="00233458">
              <w:rPr>
                <w:b w:val="0"/>
                <w:sz w:val="24"/>
                <w:szCs w:val="24"/>
              </w:rPr>
              <w:fldChar w:fldCharType="begin"/>
            </w:r>
            <w:r w:rsidR="00233458">
              <w:rPr>
                <w:b w:val="0"/>
                <w:sz w:val="24"/>
                <w:szCs w:val="24"/>
              </w:rPr>
              <w:instrText xml:space="preserve"> PAGEREF _Toc40995884 \h </w:instrText>
            </w:r>
            <w:r w:rsidR="00233458">
              <w:rPr>
                <w:b w:val="0"/>
                <w:sz w:val="24"/>
                <w:szCs w:val="24"/>
              </w:rPr>
            </w:r>
            <w:r w:rsidR="00233458">
              <w:rPr>
                <w:b w:val="0"/>
                <w:sz w:val="24"/>
                <w:szCs w:val="24"/>
              </w:rPr>
              <w:fldChar w:fldCharType="separate"/>
            </w:r>
            <w:r w:rsidR="00233458">
              <w:rPr>
                <w:b w:val="0"/>
                <w:sz w:val="24"/>
                <w:szCs w:val="24"/>
              </w:rPr>
              <w:t>8</w:t>
            </w:r>
            <w:r w:rsidR="00233458">
              <w:rPr>
                <w:b w:val="0"/>
                <w:sz w:val="24"/>
                <w:szCs w:val="24"/>
              </w:rPr>
              <w:fldChar w:fldCharType="end"/>
            </w:r>
          </w:hyperlink>
        </w:p>
        <w:p w:rsidR="000E6FD9" w:rsidRDefault="00E10815">
          <w:pPr>
            <w:pStyle w:val="21"/>
            <w:tabs>
              <w:tab w:val="right" w:leader="dot" w:pos="9344"/>
            </w:tabs>
            <w:spacing w:after="0" w:line="360" w:lineRule="auto"/>
            <w:rPr>
              <w:rFonts w:ascii="Arial" w:hAnsi="Arial" w:cs="Arial"/>
              <w:sz w:val="24"/>
              <w:szCs w:val="24"/>
            </w:rPr>
          </w:pPr>
          <w:hyperlink w:anchor="_Toc40995885" w:history="1">
            <w:r w:rsidR="00233458">
              <w:rPr>
                <w:rStyle w:val="afa"/>
                <w:rFonts w:ascii="Arial" w:hAnsi="Arial" w:cs="Arial"/>
                <w:sz w:val="24"/>
                <w:szCs w:val="24"/>
                <w:lang w:eastAsia="en-US"/>
              </w:rPr>
              <w:t>5.1 Сбор образцов</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_Toc40995885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8</w:t>
            </w:r>
            <w:r w:rsidR="00233458">
              <w:rPr>
                <w:rFonts w:ascii="Arial" w:hAnsi="Arial" w:cs="Arial"/>
                <w:sz w:val="24"/>
                <w:szCs w:val="24"/>
              </w:rPr>
              <w:fldChar w:fldCharType="end"/>
            </w:r>
          </w:hyperlink>
        </w:p>
        <w:p w:rsidR="000E6FD9" w:rsidRDefault="00E10815">
          <w:pPr>
            <w:pStyle w:val="31"/>
            <w:tabs>
              <w:tab w:val="right" w:leader="dot" w:pos="9344"/>
            </w:tabs>
            <w:spacing w:after="0" w:line="360" w:lineRule="auto"/>
            <w:rPr>
              <w:rFonts w:ascii="Arial" w:hAnsi="Arial" w:cs="Arial"/>
              <w:sz w:val="24"/>
              <w:szCs w:val="24"/>
            </w:rPr>
          </w:pPr>
          <w:hyperlink w:anchor="_Toc40995886" w:history="1">
            <w:r w:rsidR="00233458">
              <w:rPr>
                <w:rStyle w:val="afa"/>
                <w:rFonts w:ascii="Arial" w:eastAsiaTheme="minorHAnsi" w:hAnsi="Arial" w:cs="Arial"/>
                <w:sz w:val="24"/>
                <w:szCs w:val="24"/>
                <w:lang w:eastAsia="en-US"/>
              </w:rPr>
              <w:t>5.1.1 Общие положения</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_Toc40995886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8</w:t>
            </w:r>
            <w:r w:rsidR="00233458">
              <w:rPr>
                <w:rFonts w:ascii="Arial" w:hAnsi="Arial" w:cs="Arial"/>
                <w:sz w:val="24"/>
                <w:szCs w:val="24"/>
              </w:rPr>
              <w:fldChar w:fldCharType="end"/>
            </w:r>
          </w:hyperlink>
        </w:p>
        <w:p w:rsidR="000E6FD9" w:rsidRDefault="00E10815">
          <w:pPr>
            <w:pStyle w:val="31"/>
            <w:tabs>
              <w:tab w:val="right" w:leader="dot" w:pos="9344"/>
            </w:tabs>
            <w:spacing w:after="0" w:line="360" w:lineRule="auto"/>
            <w:rPr>
              <w:rFonts w:ascii="Arial" w:hAnsi="Arial" w:cs="Arial"/>
              <w:sz w:val="24"/>
              <w:szCs w:val="24"/>
            </w:rPr>
          </w:pPr>
          <w:hyperlink w:anchor="_Toc40995887" w:history="1">
            <w:r w:rsidR="00233458">
              <w:rPr>
                <w:rStyle w:val="afa"/>
                <w:rFonts w:ascii="Arial" w:eastAsiaTheme="minorHAnsi" w:hAnsi="Arial" w:cs="Arial"/>
                <w:sz w:val="24"/>
                <w:szCs w:val="24"/>
                <w:lang w:eastAsia="en-US"/>
              </w:rPr>
              <w:t>5.1.2 Информация о доноре/пациенте образца</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_Toc40995887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8</w:t>
            </w:r>
            <w:r w:rsidR="00233458">
              <w:rPr>
                <w:rFonts w:ascii="Arial" w:hAnsi="Arial" w:cs="Arial"/>
                <w:sz w:val="24"/>
                <w:szCs w:val="24"/>
              </w:rPr>
              <w:fldChar w:fldCharType="end"/>
            </w:r>
          </w:hyperlink>
        </w:p>
        <w:p w:rsidR="000E6FD9" w:rsidRDefault="00E10815">
          <w:pPr>
            <w:pStyle w:val="31"/>
            <w:tabs>
              <w:tab w:val="right" w:leader="dot" w:pos="9344"/>
            </w:tabs>
            <w:spacing w:after="0" w:line="360" w:lineRule="auto"/>
            <w:rPr>
              <w:rFonts w:ascii="Arial" w:hAnsi="Arial" w:cs="Arial"/>
              <w:sz w:val="24"/>
              <w:szCs w:val="24"/>
            </w:rPr>
          </w:pPr>
          <w:hyperlink w:anchor="_Toc40995888" w:history="1">
            <w:r w:rsidR="00233458">
              <w:rPr>
                <w:rStyle w:val="afa"/>
                <w:rFonts w:ascii="Arial" w:eastAsiaTheme="minorHAnsi" w:hAnsi="Arial" w:cs="Arial"/>
                <w:sz w:val="24"/>
                <w:szCs w:val="24"/>
                <w:lang w:eastAsia="en-US"/>
              </w:rPr>
              <w:t>5.1.3 Информация об образце</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_Toc40995888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8</w:t>
            </w:r>
            <w:r w:rsidR="00233458">
              <w:rPr>
                <w:rFonts w:ascii="Arial" w:hAnsi="Arial" w:cs="Arial"/>
                <w:sz w:val="24"/>
                <w:szCs w:val="24"/>
              </w:rPr>
              <w:fldChar w:fldCharType="end"/>
            </w:r>
          </w:hyperlink>
        </w:p>
        <w:p w:rsidR="000E6FD9" w:rsidRDefault="00E10815">
          <w:pPr>
            <w:pStyle w:val="31"/>
            <w:tabs>
              <w:tab w:val="right" w:leader="dot" w:pos="9344"/>
            </w:tabs>
            <w:spacing w:after="0" w:line="360" w:lineRule="auto"/>
            <w:rPr>
              <w:rFonts w:ascii="Arial" w:hAnsi="Arial" w:cs="Arial"/>
              <w:sz w:val="24"/>
              <w:szCs w:val="24"/>
            </w:rPr>
          </w:pPr>
          <w:hyperlink w:anchor="_Toc40995889" w:history="1">
            <w:r w:rsidR="00233458">
              <w:rPr>
                <w:rStyle w:val="afa"/>
                <w:rFonts w:ascii="Arial" w:eastAsiaTheme="minorHAnsi" w:hAnsi="Arial" w:cs="Arial"/>
                <w:sz w:val="24"/>
                <w:szCs w:val="24"/>
                <w:lang w:eastAsia="en-US"/>
              </w:rPr>
              <w:t>5.1.4 Обработка образцов</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_Toc40995889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9</w:t>
            </w:r>
            <w:r w:rsidR="00233458">
              <w:rPr>
                <w:rFonts w:ascii="Arial" w:hAnsi="Arial" w:cs="Arial"/>
                <w:sz w:val="24"/>
                <w:szCs w:val="24"/>
              </w:rPr>
              <w:fldChar w:fldCharType="end"/>
            </w:r>
          </w:hyperlink>
        </w:p>
        <w:p w:rsidR="000E6FD9" w:rsidRDefault="00E10815">
          <w:pPr>
            <w:pStyle w:val="21"/>
            <w:tabs>
              <w:tab w:val="left" w:pos="880"/>
              <w:tab w:val="right" w:leader="dot" w:pos="9344"/>
            </w:tabs>
            <w:spacing w:after="0" w:line="360" w:lineRule="auto"/>
            <w:rPr>
              <w:rFonts w:ascii="Arial" w:hAnsi="Arial" w:cs="Arial"/>
              <w:sz w:val="24"/>
              <w:szCs w:val="24"/>
            </w:rPr>
          </w:pPr>
          <w:hyperlink w:anchor="_Toc40995890" w:history="1">
            <w:r w:rsidR="00233458">
              <w:rPr>
                <w:rStyle w:val="afa"/>
                <w:rFonts w:ascii="Arial" w:hAnsi="Arial" w:cs="Arial"/>
                <w:sz w:val="24"/>
                <w:szCs w:val="24"/>
                <w:lang w:eastAsia="en-US"/>
              </w:rPr>
              <w:t>5.2</w:t>
            </w:r>
            <w:r w:rsidR="00233458">
              <w:rPr>
                <w:rFonts w:ascii="Arial" w:hAnsi="Arial" w:cs="Arial"/>
                <w:sz w:val="24"/>
                <w:szCs w:val="24"/>
              </w:rPr>
              <w:tab/>
            </w:r>
            <w:r w:rsidR="00233458">
              <w:rPr>
                <w:rStyle w:val="afa"/>
                <w:rFonts w:ascii="Arial" w:hAnsi="Arial" w:cs="Arial"/>
                <w:sz w:val="24"/>
                <w:szCs w:val="24"/>
                <w:lang w:eastAsia="en-US"/>
              </w:rPr>
              <w:t>Требования к транспортировке</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_Toc40995890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10</w:t>
            </w:r>
            <w:r w:rsidR="00233458">
              <w:rPr>
                <w:rFonts w:ascii="Arial" w:hAnsi="Arial" w:cs="Arial"/>
                <w:sz w:val="24"/>
                <w:szCs w:val="24"/>
              </w:rPr>
              <w:fldChar w:fldCharType="end"/>
            </w:r>
          </w:hyperlink>
        </w:p>
        <w:p w:rsidR="000E6FD9" w:rsidRDefault="00E10815">
          <w:pPr>
            <w:pStyle w:val="13"/>
            <w:tabs>
              <w:tab w:val="right" w:leader="dot" w:pos="9344"/>
            </w:tabs>
            <w:spacing w:before="0" w:after="0" w:line="360" w:lineRule="auto"/>
            <w:rPr>
              <w:rFonts w:eastAsiaTheme="minorEastAsia"/>
              <w:b w:val="0"/>
              <w:sz w:val="24"/>
              <w:szCs w:val="24"/>
            </w:rPr>
          </w:pPr>
          <w:hyperlink w:anchor="_Toc40995891" w:history="1">
            <w:r w:rsidR="00233458">
              <w:rPr>
                <w:rStyle w:val="afa"/>
                <w:b w:val="0"/>
                <w:sz w:val="24"/>
                <w:szCs w:val="24"/>
              </w:rPr>
              <w:t>6 В лаборатории</w:t>
            </w:r>
            <w:r w:rsidR="00233458">
              <w:rPr>
                <w:b w:val="0"/>
                <w:sz w:val="24"/>
                <w:szCs w:val="24"/>
              </w:rPr>
              <w:tab/>
            </w:r>
            <w:r w:rsidR="00233458">
              <w:rPr>
                <w:b w:val="0"/>
                <w:sz w:val="24"/>
                <w:szCs w:val="24"/>
              </w:rPr>
              <w:fldChar w:fldCharType="begin"/>
            </w:r>
            <w:r w:rsidR="00233458">
              <w:rPr>
                <w:b w:val="0"/>
                <w:sz w:val="24"/>
                <w:szCs w:val="24"/>
              </w:rPr>
              <w:instrText xml:space="preserve"> PAGEREF _Toc40995891 \h </w:instrText>
            </w:r>
            <w:r w:rsidR="00233458">
              <w:rPr>
                <w:b w:val="0"/>
                <w:sz w:val="24"/>
                <w:szCs w:val="24"/>
              </w:rPr>
            </w:r>
            <w:r w:rsidR="00233458">
              <w:rPr>
                <w:b w:val="0"/>
                <w:sz w:val="24"/>
                <w:szCs w:val="24"/>
              </w:rPr>
              <w:fldChar w:fldCharType="separate"/>
            </w:r>
            <w:r w:rsidR="00233458">
              <w:rPr>
                <w:b w:val="0"/>
                <w:sz w:val="24"/>
                <w:szCs w:val="24"/>
              </w:rPr>
              <w:t>10</w:t>
            </w:r>
            <w:r w:rsidR="00233458">
              <w:rPr>
                <w:b w:val="0"/>
                <w:sz w:val="24"/>
                <w:szCs w:val="24"/>
              </w:rPr>
              <w:fldChar w:fldCharType="end"/>
            </w:r>
          </w:hyperlink>
        </w:p>
        <w:p w:rsidR="000E6FD9" w:rsidRDefault="00E10815">
          <w:pPr>
            <w:pStyle w:val="21"/>
            <w:tabs>
              <w:tab w:val="left" w:pos="880"/>
              <w:tab w:val="right" w:leader="dot" w:pos="9344"/>
            </w:tabs>
            <w:spacing w:after="0" w:line="360" w:lineRule="auto"/>
            <w:rPr>
              <w:rFonts w:ascii="Arial" w:hAnsi="Arial" w:cs="Arial"/>
              <w:sz w:val="24"/>
              <w:szCs w:val="24"/>
            </w:rPr>
          </w:pPr>
          <w:hyperlink w:anchor="_Toc40995892" w:history="1">
            <w:r w:rsidR="00233458">
              <w:rPr>
                <w:rStyle w:val="afa"/>
                <w:rFonts w:ascii="Arial" w:hAnsi="Arial" w:cs="Arial"/>
                <w:sz w:val="24"/>
                <w:szCs w:val="24"/>
                <w:lang w:eastAsia="en-US"/>
              </w:rPr>
              <w:t>6.1</w:t>
            </w:r>
            <w:r w:rsidR="00233458">
              <w:rPr>
                <w:rFonts w:ascii="Arial" w:hAnsi="Arial" w:cs="Arial"/>
                <w:sz w:val="24"/>
                <w:szCs w:val="24"/>
              </w:rPr>
              <w:tab/>
            </w:r>
            <w:r w:rsidR="00233458">
              <w:rPr>
                <w:rStyle w:val="afa"/>
                <w:rFonts w:ascii="Arial" w:hAnsi="Arial" w:cs="Arial"/>
                <w:sz w:val="24"/>
                <w:szCs w:val="24"/>
                <w:lang w:eastAsia="en-US"/>
              </w:rPr>
              <w:t>Информация о приёме образца</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_Toc40995892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10</w:t>
            </w:r>
            <w:r w:rsidR="00233458">
              <w:rPr>
                <w:rFonts w:ascii="Arial" w:hAnsi="Arial" w:cs="Arial"/>
                <w:sz w:val="24"/>
                <w:szCs w:val="24"/>
              </w:rPr>
              <w:fldChar w:fldCharType="end"/>
            </w:r>
          </w:hyperlink>
        </w:p>
        <w:p w:rsidR="000E6FD9" w:rsidRDefault="00E10815">
          <w:pPr>
            <w:pStyle w:val="21"/>
            <w:tabs>
              <w:tab w:val="left" w:pos="880"/>
              <w:tab w:val="right" w:leader="dot" w:pos="9344"/>
            </w:tabs>
            <w:spacing w:after="0" w:line="360" w:lineRule="auto"/>
            <w:rPr>
              <w:rFonts w:ascii="Arial" w:hAnsi="Arial" w:cs="Arial"/>
              <w:sz w:val="24"/>
              <w:szCs w:val="24"/>
            </w:rPr>
          </w:pPr>
          <w:hyperlink w:anchor="_Toc40995893" w:history="1">
            <w:r w:rsidR="00233458">
              <w:rPr>
                <w:rStyle w:val="afa"/>
                <w:rFonts w:ascii="Arial" w:hAnsi="Arial" w:cs="Arial"/>
                <w:sz w:val="24"/>
                <w:szCs w:val="24"/>
                <w:lang w:eastAsia="en-US"/>
              </w:rPr>
              <w:t>6.2</w:t>
            </w:r>
            <w:r w:rsidR="00233458">
              <w:rPr>
                <w:rFonts w:ascii="Arial" w:hAnsi="Arial" w:cs="Arial"/>
                <w:sz w:val="24"/>
                <w:szCs w:val="24"/>
              </w:rPr>
              <w:tab/>
            </w:r>
            <w:r w:rsidR="00233458">
              <w:rPr>
                <w:rStyle w:val="afa"/>
                <w:rFonts w:ascii="Arial" w:hAnsi="Arial" w:cs="Arial"/>
                <w:sz w:val="24"/>
                <w:szCs w:val="24"/>
                <w:lang w:eastAsia="en-US"/>
              </w:rPr>
              <w:t>Фиксация образца или пробы (проб) в формалине</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_Toc40995893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11</w:t>
            </w:r>
            <w:r w:rsidR="00233458">
              <w:rPr>
                <w:rFonts w:ascii="Arial" w:hAnsi="Arial" w:cs="Arial"/>
                <w:sz w:val="24"/>
                <w:szCs w:val="24"/>
              </w:rPr>
              <w:fldChar w:fldCharType="end"/>
            </w:r>
          </w:hyperlink>
        </w:p>
        <w:p w:rsidR="000E6FD9" w:rsidRDefault="00E10815">
          <w:pPr>
            <w:pStyle w:val="21"/>
            <w:tabs>
              <w:tab w:val="left" w:pos="880"/>
              <w:tab w:val="right" w:leader="dot" w:pos="9344"/>
            </w:tabs>
            <w:spacing w:after="0" w:line="360" w:lineRule="auto"/>
            <w:rPr>
              <w:rFonts w:ascii="Arial" w:hAnsi="Arial" w:cs="Arial"/>
              <w:sz w:val="24"/>
              <w:szCs w:val="24"/>
            </w:rPr>
          </w:pPr>
          <w:hyperlink w:anchor="_Toc40995894" w:history="1">
            <w:r w:rsidR="00233458">
              <w:rPr>
                <w:rStyle w:val="afa"/>
                <w:rFonts w:ascii="Arial" w:hAnsi="Arial" w:cs="Arial"/>
                <w:sz w:val="24"/>
                <w:szCs w:val="24"/>
                <w:lang w:eastAsia="en-US"/>
              </w:rPr>
              <w:t>6.3</w:t>
            </w:r>
            <w:r w:rsidR="00233458">
              <w:rPr>
                <w:rFonts w:ascii="Arial" w:hAnsi="Arial" w:cs="Arial"/>
                <w:sz w:val="24"/>
                <w:szCs w:val="24"/>
              </w:rPr>
              <w:tab/>
            </w:r>
            <w:r w:rsidR="00233458">
              <w:rPr>
                <w:rStyle w:val="afa"/>
                <w:rFonts w:ascii="Arial" w:hAnsi="Arial" w:cs="Arial"/>
                <w:sz w:val="24"/>
                <w:szCs w:val="24"/>
                <w:lang w:eastAsia="en-US"/>
              </w:rPr>
              <w:t>Оценка патологии образца и отбор пробы (проб)</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_Toc40995894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13</w:t>
            </w:r>
            <w:r w:rsidR="00233458">
              <w:rPr>
                <w:rFonts w:ascii="Arial" w:hAnsi="Arial" w:cs="Arial"/>
                <w:sz w:val="24"/>
                <w:szCs w:val="24"/>
              </w:rPr>
              <w:fldChar w:fldCharType="end"/>
            </w:r>
          </w:hyperlink>
        </w:p>
        <w:p w:rsidR="000E6FD9" w:rsidRDefault="00E10815">
          <w:pPr>
            <w:pStyle w:val="21"/>
            <w:tabs>
              <w:tab w:val="left" w:pos="880"/>
              <w:tab w:val="right" w:leader="dot" w:pos="9344"/>
            </w:tabs>
            <w:spacing w:after="0" w:line="360" w:lineRule="auto"/>
            <w:rPr>
              <w:rFonts w:ascii="Arial" w:hAnsi="Arial" w:cs="Arial"/>
              <w:sz w:val="24"/>
              <w:szCs w:val="24"/>
            </w:rPr>
          </w:pPr>
          <w:hyperlink w:anchor="_Toc40995895" w:history="1">
            <w:r w:rsidR="00233458">
              <w:rPr>
                <w:rStyle w:val="afa"/>
                <w:rFonts w:ascii="Arial" w:hAnsi="Arial" w:cs="Arial"/>
                <w:sz w:val="24"/>
                <w:szCs w:val="24"/>
                <w:lang w:eastAsia="en-US"/>
              </w:rPr>
              <w:t>6.4</w:t>
            </w:r>
            <w:r w:rsidR="00233458">
              <w:rPr>
                <w:rFonts w:ascii="Arial" w:hAnsi="Arial" w:cs="Arial"/>
                <w:sz w:val="24"/>
                <w:szCs w:val="24"/>
              </w:rPr>
              <w:tab/>
            </w:r>
            <w:r w:rsidR="00233458">
              <w:rPr>
                <w:rStyle w:val="afa"/>
                <w:rFonts w:ascii="Arial" w:hAnsi="Arial" w:cs="Arial"/>
                <w:sz w:val="24"/>
                <w:szCs w:val="24"/>
                <w:lang w:eastAsia="en-US"/>
              </w:rPr>
              <w:t>Постфиксация замороженных проб</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_Toc40995895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15</w:t>
            </w:r>
            <w:r w:rsidR="00233458">
              <w:rPr>
                <w:rFonts w:ascii="Arial" w:hAnsi="Arial" w:cs="Arial"/>
                <w:sz w:val="24"/>
                <w:szCs w:val="24"/>
              </w:rPr>
              <w:fldChar w:fldCharType="end"/>
            </w:r>
          </w:hyperlink>
        </w:p>
        <w:p w:rsidR="000E6FD9" w:rsidRDefault="00E10815">
          <w:pPr>
            <w:pStyle w:val="21"/>
            <w:tabs>
              <w:tab w:val="left" w:pos="880"/>
              <w:tab w:val="right" w:leader="dot" w:pos="9344"/>
            </w:tabs>
            <w:spacing w:after="0" w:line="360" w:lineRule="auto"/>
            <w:rPr>
              <w:rFonts w:ascii="Arial" w:hAnsi="Arial" w:cs="Arial"/>
              <w:sz w:val="24"/>
              <w:szCs w:val="24"/>
            </w:rPr>
          </w:pPr>
          <w:hyperlink w:anchor="_Toc40995896" w:history="1">
            <w:r w:rsidR="00233458">
              <w:rPr>
                <w:rStyle w:val="afa"/>
                <w:rFonts w:ascii="Arial" w:hAnsi="Arial" w:cs="Arial"/>
                <w:sz w:val="24"/>
                <w:szCs w:val="24"/>
                <w:lang w:eastAsia="en-US"/>
              </w:rPr>
              <w:t>6.5</w:t>
            </w:r>
            <w:r w:rsidR="00233458">
              <w:rPr>
                <w:rFonts w:ascii="Arial" w:hAnsi="Arial" w:cs="Arial"/>
                <w:sz w:val="24"/>
                <w:szCs w:val="24"/>
              </w:rPr>
              <w:tab/>
            </w:r>
            <w:r w:rsidR="00233458">
              <w:rPr>
                <w:rStyle w:val="afa"/>
                <w:rFonts w:ascii="Arial" w:hAnsi="Arial" w:cs="Arial"/>
                <w:sz w:val="24"/>
                <w:szCs w:val="24"/>
                <w:lang w:eastAsia="en-US"/>
              </w:rPr>
              <w:t>Процесс и заключение в парафин</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_Toc40995896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15</w:t>
            </w:r>
            <w:r w:rsidR="00233458">
              <w:rPr>
                <w:rFonts w:ascii="Arial" w:hAnsi="Arial" w:cs="Arial"/>
                <w:sz w:val="24"/>
                <w:szCs w:val="24"/>
              </w:rPr>
              <w:fldChar w:fldCharType="end"/>
            </w:r>
          </w:hyperlink>
        </w:p>
        <w:p w:rsidR="000E6FD9" w:rsidRDefault="00E10815">
          <w:pPr>
            <w:pStyle w:val="21"/>
            <w:tabs>
              <w:tab w:val="left" w:pos="880"/>
              <w:tab w:val="right" w:leader="dot" w:pos="9344"/>
            </w:tabs>
            <w:spacing w:after="0" w:line="360" w:lineRule="auto"/>
            <w:rPr>
              <w:rFonts w:ascii="Arial" w:hAnsi="Arial" w:cs="Arial"/>
              <w:sz w:val="24"/>
              <w:szCs w:val="24"/>
            </w:rPr>
          </w:pPr>
          <w:hyperlink w:anchor="_Toc40995897" w:history="1">
            <w:r w:rsidR="00233458">
              <w:rPr>
                <w:rStyle w:val="afa"/>
                <w:rFonts w:ascii="Arial" w:hAnsi="Arial" w:cs="Arial"/>
                <w:sz w:val="24"/>
                <w:szCs w:val="24"/>
                <w:lang w:eastAsia="en-US"/>
              </w:rPr>
              <w:t>6.6</w:t>
            </w:r>
            <w:r w:rsidR="00233458">
              <w:rPr>
                <w:rFonts w:ascii="Arial" w:hAnsi="Arial" w:cs="Arial"/>
                <w:sz w:val="24"/>
                <w:szCs w:val="24"/>
              </w:rPr>
              <w:tab/>
            </w:r>
            <w:r w:rsidR="00233458">
              <w:rPr>
                <w:rStyle w:val="afa"/>
                <w:rFonts w:ascii="Arial" w:hAnsi="Arial" w:cs="Arial"/>
                <w:sz w:val="24"/>
                <w:szCs w:val="24"/>
                <w:lang w:eastAsia="en-US"/>
              </w:rPr>
              <w:t>Требования к хранению</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_Toc40995897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16</w:t>
            </w:r>
            <w:r w:rsidR="00233458">
              <w:rPr>
                <w:rFonts w:ascii="Arial" w:hAnsi="Arial" w:cs="Arial"/>
                <w:sz w:val="24"/>
                <w:szCs w:val="24"/>
              </w:rPr>
              <w:fldChar w:fldCharType="end"/>
            </w:r>
          </w:hyperlink>
        </w:p>
        <w:p w:rsidR="000E6FD9" w:rsidRDefault="00E10815">
          <w:pPr>
            <w:pStyle w:val="21"/>
            <w:tabs>
              <w:tab w:val="right" w:leader="dot" w:pos="9344"/>
            </w:tabs>
            <w:spacing w:after="0" w:line="360" w:lineRule="auto"/>
            <w:rPr>
              <w:rFonts w:ascii="Arial" w:hAnsi="Arial" w:cs="Arial"/>
              <w:sz w:val="24"/>
              <w:szCs w:val="24"/>
            </w:rPr>
          </w:pPr>
          <w:hyperlink w:anchor="_Toc40995898" w:history="1">
            <w:r w:rsidR="00233458">
              <w:rPr>
                <w:rStyle w:val="afa"/>
                <w:rFonts w:ascii="Arial" w:hAnsi="Arial" w:cs="Arial"/>
                <w:sz w:val="24"/>
                <w:szCs w:val="24"/>
                <w:lang w:eastAsia="en-US"/>
              </w:rPr>
              <w:t>6.7 Выделение общего белка</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_Toc40995898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17</w:t>
            </w:r>
            <w:r w:rsidR="00233458">
              <w:rPr>
                <w:rFonts w:ascii="Arial" w:hAnsi="Arial" w:cs="Arial"/>
                <w:sz w:val="24"/>
                <w:szCs w:val="24"/>
              </w:rPr>
              <w:fldChar w:fldCharType="end"/>
            </w:r>
          </w:hyperlink>
        </w:p>
        <w:p w:rsidR="000E6FD9" w:rsidRDefault="00E10815">
          <w:pPr>
            <w:pStyle w:val="31"/>
            <w:tabs>
              <w:tab w:val="right" w:leader="dot" w:pos="9344"/>
            </w:tabs>
            <w:spacing w:after="0" w:line="360" w:lineRule="auto"/>
            <w:rPr>
              <w:rFonts w:ascii="Arial" w:hAnsi="Arial" w:cs="Arial"/>
              <w:sz w:val="24"/>
              <w:szCs w:val="24"/>
            </w:rPr>
          </w:pPr>
          <w:hyperlink w:anchor="_Toc40995899" w:history="1">
            <w:r w:rsidR="00233458">
              <w:rPr>
                <w:rStyle w:val="afa"/>
                <w:rFonts w:ascii="Arial" w:eastAsiaTheme="minorHAnsi" w:hAnsi="Arial" w:cs="Arial"/>
                <w:sz w:val="24"/>
                <w:szCs w:val="24"/>
                <w:lang w:eastAsia="en-US"/>
              </w:rPr>
              <w:t xml:space="preserve">6.7.1 </w:t>
            </w:r>
            <w:r w:rsidR="00233458">
              <w:rPr>
                <w:rStyle w:val="afa"/>
                <w:rFonts w:ascii="Arial" w:hAnsi="Arial" w:cs="Arial"/>
                <w:sz w:val="24"/>
                <w:szCs w:val="24"/>
                <w:lang w:eastAsia="en-US"/>
              </w:rPr>
              <w:t>Общие сведения</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_Toc40995899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17</w:t>
            </w:r>
            <w:r w:rsidR="00233458">
              <w:rPr>
                <w:rFonts w:ascii="Arial" w:hAnsi="Arial" w:cs="Arial"/>
                <w:sz w:val="24"/>
                <w:szCs w:val="24"/>
              </w:rPr>
              <w:fldChar w:fldCharType="end"/>
            </w:r>
          </w:hyperlink>
        </w:p>
        <w:p w:rsidR="000E6FD9" w:rsidRDefault="00E10815">
          <w:pPr>
            <w:pStyle w:val="31"/>
            <w:tabs>
              <w:tab w:val="right" w:leader="dot" w:pos="9344"/>
            </w:tabs>
            <w:spacing w:after="0" w:line="360" w:lineRule="auto"/>
            <w:rPr>
              <w:rFonts w:ascii="Arial" w:hAnsi="Arial" w:cs="Arial"/>
              <w:sz w:val="24"/>
              <w:szCs w:val="24"/>
            </w:rPr>
          </w:pPr>
          <w:hyperlink w:anchor="_Toc40995900" w:history="1">
            <w:r w:rsidR="00233458">
              <w:rPr>
                <w:rStyle w:val="afa"/>
                <w:rFonts w:ascii="Arial" w:eastAsiaTheme="minorHAnsi" w:hAnsi="Arial" w:cs="Arial"/>
                <w:sz w:val="24"/>
                <w:szCs w:val="24"/>
                <w:lang w:eastAsia="en-US"/>
              </w:rPr>
              <w:t>6.7.2 Общие сведения о процедурах выделения белка</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_Toc40995900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17</w:t>
            </w:r>
            <w:r w:rsidR="00233458">
              <w:rPr>
                <w:rFonts w:ascii="Arial" w:hAnsi="Arial" w:cs="Arial"/>
                <w:sz w:val="24"/>
                <w:szCs w:val="24"/>
              </w:rPr>
              <w:fldChar w:fldCharType="end"/>
            </w:r>
          </w:hyperlink>
        </w:p>
        <w:p w:rsidR="000E6FD9" w:rsidRDefault="00E10815">
          <w:pPr>
            <w:pStyle w:val="31"/>
            <w:tabs>
              <w:tab w:val="right" w:leader="dot" w:pos="9344"/>
            </w:tabs>
            <w:spacing w:after="0" w:line="360" w:lineRule="auto"/>
            <w:rPr>
              <w:rFonts w:ascii="Arial" w:hAnsi="Arial" w:cs="Arial"/>
              <w:sz w:val="24"/>
              <w:szCs w:val="24"/>
            </w:rPr>
          </w:pPr>
          <w:hyperlink w:anchor="_Toc40995901" w:history="1">
            <w:r w:rsidR="00233458">
              <w:rPr>
                <w:rStyle w:val="afa"/>
                <w:rFonts w:ascii="Arial" w:eastAsiaTheme="minorHAnsi" w:hAnsi="Arial" w:cs="Arial"/>
                <w:sz w:val="24"/>
                <w:szCs w:val="24"/>
                <w:lang w:eastAsia="en-US"/>
              </w:rPr>
              <w:t>6.7.3 Использование коммерческих наборов</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_Toc40995901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18</w:t>
            </w:r>
            <w:r w:rsidR="00233458">
              <w:rPr>
                <w:rFonts w:ascii="Arial" w:hAnsi="Arial" w:cs="Arial"/>
                <w:sz w:val="24"/>
                <w:szCs w:val="24"/>
              </w:rPr>
              <w:fldChar w:fldCharType="end"/>
            </w:r>
          </w:hyperlink>
        </w:p>
        <w:p w:rsidR="000E6FD9" w:rsidRDefault="00E10815">
          <w:pPr>
            <w:pStyle w:val="31"/>
            <w:tabs>
              <w:tab w:val="right" w:leader="dot" w:pos="9344"/>
            </w:tabs>
            <w:spacing w:after="0" w:line="360" w:lineRule="auto"/>
            <w:rPr>
              <w:rFonts w:ascii="Arial" w:hAnsi="Arial" w:cs="Arial"/>
              <w:sz w:val="24"/>
              <w:szCs w:val="24"/>
            </w:rPr>
          </w:pPr>
          <w:hyperlink w:anchor="_Toc40995902" w:history="1">
            <w:r w:rsidR="00233458">
              <w:rPr>
                <w:rStyle w:val="afa"/>
                <w:rFonts w:ascii="Arial" w:eastAsiaTheme="minorHAnsi" w:hAnsi="Arial" w:cs="Arial"/>
                <w:sz w:val="24"/>
                <w:szCs w:val="24"/>
                <w:lang w:eastAsia="en-US"/>
              </w:rPr>
              <w:t>6.7.4 Использование собственных лабораторных протоколов</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_Toc40995902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18</w:t>
            </w:r>
            <w:r w:rsidR="00233458">
              <w:rPr>
                <w:rFonts w:ascii="Arial" w:hAnsi="Arial" w:cs="Arial"/>
                <w:sz w:val="24"/>
                <w:szCs w:val="24"/>
              </w:rPr>
              <w:fldChar w:fldCharType="end"/>
            </w:r>
          </w:hyperlink>
        </w:p>
        <w:p w:rsidR="000E6FD9" w:rsidRDefault="00E10815">
          <w:pPr>
            <w:pStyle w:val="21"/>
            <w:tabs>
              <w:tab w:val="left" w:pos="880"/>
              <w:tab w:val="right" w:leader="dot" w:pos="9344"/>
            </w:tabs>
            <w:spacing w:after="0" w:line="360" w:lineRule="auto"/>
            <w:rPr>
              <w:rFonts w:ascii="Arial" w:hAnsi="Arial" w:cs="Arial"/>
              <w:sz w:val="24"/>
              <w:szCs w:val="24"/>
            </w:rPr>
          </w:pPr>
          <w:hyperlink w:anchor="_Toc40995903" w:history="1">
            <w:r w:rsidR="00233458">
              <w:rPr>
                <w:rStyle w:val="afa"/>
                <w:rFonts w:ascii="Arial" w:hAnsi="Arial" w:cs="Arial"/>
                <w:sz w:val="24"/>
                <w:szCs w:val="24"/>
                <w:lang w:eastAsia="en-US"/>
              </w:rPr>
              <w:t>6.8</w:t>
            </w:r>
            <w:r w:rsidR="00233458">
              <w:rPr>
                <w:rFonts w:ascii="Arial" w:hAnsi="Arial" w:cs="Arial"/>
                <w:sz w:val="24"/>
                <w:szCs w:val="24"/>
              </w:rPr>
              <w:tab/>
            </w:r>
            <w:r w:rsidR="00233458">
              <w:rPr>
                <w:rStyle w:val="afa"/>
                <w:rFonts w:ascii="Arial" w:hAnsi="Arial" w:cs="Arial"/>
                <w:sz w:val="24"/>
                <w:szCs w:val="24"/>
                <w:lang w:eastAsia="en-US"/>
              </w:rPr>
              <w:t>Оценка качества выделенных белков</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_Toc40995903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19</w:t>
            </w:r>
            <w:r w:rsidR="00233458">
              <w:rPr>
                <w:rFonts w:ascii="Arial" w:hAnsi="Arial" w:cs="Arial"/>
                <w:sz w:val="24"/>
                <w:szCs w:val="24"/>
              </w:rPr>
              <w:fldChar w:fldCharType="end"/>
            </w:r>
          </w:hyperlink>
        </w:p>
        <w:p w:rsidR="000E6FD9" w:rsidRDefault="00E10815">
          <w:pPr>
            <w:pStyle w:val="21"/>
            <w:tabs>
              <w:tab w:val="left" w:pos="880"/>
              <w:tab w:val="right" w:leader="dot" w:pos="9344"/>
            </w:tabs>
            <w:spacing w:after="0" w:line="360" w:lineRule="auto"/>
            <w:rPr>
              <w:rFonts w:ascii="Arial" w:hAnsi="Arial" w:cs="Arial"/>
              <w:sz w:val="24"/>
              <w:szCs w:val="24"/>
            </w:rPr>
          </w:pPr>
          <w:hyperlink w:anchor="_Toc40995904" w:history="1">
            <w:r w:rsidR="00233458">
              <w:rPr>
                <w:rStyle w:val="afa"/>
                <w:rFonts w:ascii="Arial" w:hAnsi="Arial" w:cs="Arial"/>
                <w:sz w:val="24"/>
                <w:szCs w:val="24"/>
                <w:lang w:eastAsia="en-US"/>
              </w:rPr>
              <w:t>6.9</w:t>
            </w:r>
            <w:r w:rsidR="00233458">
              <w:rPr>
                <w:rFonts w:ascii="Arial" w:hAnsi="Arial" w:cs="Arial"/>
                <w:sz w:val="24"/>
                <w:szCs w:val="24"/>
              </w:rPr>
              <w:tab/>
            </w:r>
            <w:r w:rsidR="00233458">
              <w:rPr>
                <w:rStyle w:val="afa"/>
                <w:rFonts w:ascii="Arial" w:hAnsi="Arial" w:cs="Arial"/>
                <w:sz w:val="24"/>
                <w:szCs w:val="24"/>
                <w:lang w:eastAsia="en-US"/>
              </w:rPr>
              <w:t>Хранение изолированного общего белка</w:t>
            </w:r>
            <w:r w:rsidR="00233458">
              <w:rPr>
                <w:rFonts w:ascii="Arial" w:hAnsi="Arial" w:cs="Arial"/>
                <w:sz w:val="24"/>
                <w:szCs w:val="24"/>
              </w:rPr>
              <w:tab/>
            </w:r>
            <w:r w:rsidR="00233458">
              <w:rPr>
                <w:rFonts w:ascii="Arial" w:hAnsi="Arial" w:cs="Arial"/>
                <w:sz w:val="24"/>
                <w:szCs w:val="24"/>
              </w:rPr>
              <w:fldChar w:fldCharType="begin"/>
            </w:r>
            <w:r w:rsidR="00233458">
              <w:rPr>
                <w:rFonts w:ascii="Arial" w:hAnsi="Arial" w:cs="Arial"/>
                <w:sz w:val="24"/>
                <w:szCs w:val="24"/>
              </w:rPr>
              <w:instrText xml:space="preserve"> PAGEREF _Toc40995904 \h </w:instrText>
            </w:r>
            <w:r w:rsidR="00233458">
              <w:rPr>
                <w:rFonts w:ascii="Arial" w:hAnsi="Arial" w:cs="Arial"/>
                <w:sz w:val="24"/>
                <w:szCs w:val="24"/>
              </w:rPr>
            </w:r>
            <w:r w:rsidR="00233458">
              <w:rPr>
                <w:rFonts w:ascii="Arial" w:hAnsi="Arial" w:cs="Arial"/>
                <w:sz w:val="24"/>
                <w:szCs w:val="24"/>
              </w:rPr>
              <w:fldChar w:fldCharType="separate"/>
            </w:r>
            <w:r w:rsidR="00233458">
              <w:rPr>
                <w:rFonts w:ascii="Arial" w:hAnsi="Arial" w:cs="Arial"/>
                <w:sz w:val="24"/>
                <w:szCs w:val="24"/>
              </w:rPr>
              <w:t>20</w:t>
            </w:r>
            <w:r w:rsidR="00233458">
              <w:rPr>
                <w:rFonts w:ascii="Arial" w:hAnsi="Arial" w:cs="Arial"/>
                <w:sz w:val="24"/>
                <w:szCs w:val="24"/>
              </w:rPr>
              <w:fldChar w:fldCharType="end"/>
            </w:r>
          </w:hyperlink>
        </w:p>
        <w:p w:rsidR="000E6FD9" w:rsidRDefault="00E10815">
          <w:pPr>
            <w:pStyle w:val="13"/>
            <w:tabs>
              <w:tab w:val="right" w:leader="dot" w:pos="9344"/>
            </w:tabs>
            <w:spacing w:before="0" w:after="0" w:line="360" w:lineRule="auto"/>
            <w:rPr>
              <w:rFonts w:eastAsiaTheme="minorEastAsia"/>
              <w:b w:val="0"/>
              <w:sz w:val="24"/>
              <w:szCs w:val="24"/>
            </w:rPr>
          </w:pPr>
          <w:hyperlink w:anchor="_Toc40995905" w:history="1">
            <w:r w:rsidR="00233458">
              <w:rPr>
                <w:rStyle w:val="afa"/>
                <w:b w:val="0"/>
                <w:sz w:val="24"/>
                <w:szCs w:val="24"/>
              </w:rPr>
              <w:t xml:space="preserve">Приложение А </w:t>
            </w:r>
          </w:hyperlink>
          <w:hyperlink w:anchor="_Toc40995906" w:history="1">
            <w:r w:rsidR="00233458">
              <w:rPr>
                <w:rStyle w:val="afa"/>
                <w:b w:val="0"/>
                <w:sz w:val="24"/>
                <w:szCs w:val="24"/>
              </w:rPr>
              <w:t xml:space="preserve">(информационное) </w:t>
            </w:r>
          </w:hyperlink>
          <w:hyperlink w:anchor="_Toc40995907" w:history="1">
            <w:r w:rsidR="00233458">
              <w:rPr>
                <w:rStyle w:val="afa"/>
                <w:b w:val="0"/>
                <w:sz w:val="24"/>
                <w:szCs w:val="24"/>
              </w:rPr>
              <w:t>Исследование белка демонстрирует изменение его количество во время критического хранения</w:t>
            </w:r>
            <w:r w:rsidR="00233458">
              <w:rPr>
                <w:b w:val="0"/>
                <w:sz w:val="24"/>
                <w:szCs w:val="24"/>
              </w:rPr>
              <w:tab/>
            </w:r>
            <w:r w:rsidR="00233458">
              <w:rPr>
                <w:b w:val="0"/>
                <w:sz w:val="24"/>
                <w:szCs w:val="24"/>
              </w:rPr>
              <w:fldChar w:fldCharType="begin"/>
            </w:r>
            <w:r w:rsidR="00233458">
              <w:rPr>
                <w:b w:val="0"/>
                <w:sz w:val="24"/>
                <w:szCs w:val="24"/>
              </w:rPr>
              <w:instrText xml:space="preserve"> PAGEREF _Toc40995907 \h </w:instrText>
            </w:r>
            <w:r w:rsidR="00233458">
              <w:rPr>
                <w:b w:val="0"/>
                <w:sz w:val="24"/>
                <w:szCs w:val="24"/>
              </w:rPr>
            </w:r>
            <w:r w:rsidR="00233458">
              <w:rPr>
                <w:b w:val="0"/>
                <w:sz w:val="24"/>
                <w:szCs w:val="24"/>
              </w:rPr>
              <w:fldChar w:fldCharType="separate"/>
            </w:r>
            <w:r w:rsidR="00233458">
              <w:rPr>
                <w:b w:val="0"/>
                <w:sz w:val="24"/>
                <w:szCs w:val="24"/>
              </w:rPr>
              <w:t>22</w:t>
            </w:r>
            <w:r w:rsidR="00233458">
              <w:rPr>
                <w:b w:val="0"/>
                <w:sz w:val="24"/>
                <w:szCs w:val="24"/>
              </w:rPr>
              <w:fldChar w:fldCharType="end"/>
            </w:r>
          </w:hyperlink>
        </w:p>
        <w:p w:rsidR="000E6FD9" w:rsidRDefault="00E10815">
          <w:pPr>
            <w:pStyle w:val="13"/>
            <w:tabs>
              <w:tab w:val="right" w:leader="dot" w:pos="9344"/>
            </w:tabs>
            <w:spacing w:before="0" w:after="0" w:line="360" w:lineRule="auto"/>
            <w:rPr>
              <w:rFonts w:eastAsiaTheme="minorEastAsia"/>
              <w:b w:val="0"/>
              <w:sz w:val="24"/>
              <w:szCs w:val="24"/>
            </w:rPr>
          </w:pPr>
          <w:hyperlink w:anchor="_Toc40995908" w:history="1">
            <w:r w:rsidR="00233458">
              <w:rPr>
                <w:rStyle w:val="afa"/>
                <w:b w:val="0"/>
                <w:sz w:val="24"/>
                <w:szCs w:val="24"/>
              </w:rPr>
              <w:t>Приложение ДА (справочное) Сведения о соответствии ссылочных международных стандартов национальным стандартам</w:t>
            </w:r>
            <w:r w:rsidR="00233458">
              <w:rPr>
                <w:b w:val="0"/>
                <w:sz w:val="24"/>
                <w:szCs w:val="24"/>
              </w:rPr>
              <w:tab/>
            </w:r>
            <w:r w:rsidR="00233458">
              <w:rPr>
                <w:b w:val="0"/>
                <w:sz w:val="24"/>
                <w:szCs w:val="24"/>
              </w:rPr>
              <w:fldChar w:fldCharType="begin"/>
            </w:r>
            <w:r w:rsidR="00233458">
              <w:rPr>
                <w:b w:val="0"/>
                <w:sz w:val="24"/>
                <w:szCs w:val="24"/>
              </w:rPr>
              <w:instrText xml:space="preserve"> PAGEREF _Toc40995908 \h </w:instrText>
            </w:r>
            <w:r w:rsidR="00233458">
              <w:rPr>
                <w:b w:val="0"/>
                <w:sz w:val="24"/>
                <w:szCs w:val="24"/>
              </w:rPr>
            </w:r>
            <w:r w:rsidR="00233458">
              <w:rPr>
                <w:b w:val="0"/>
                <w:sz w:val="24"/>
                <w:szCs w:val="24"/>
              </w:rPr>
              <w:fldChar w:fldCharType="separate"/>
            </w:r>
            <w:r w:rsidR="00233458">
              <w:rPr>
                <w:b w:val="0"/>
                <w:sz w:val="24"/>
                <w:szCs w:val="24"/>
              </w:rPr>
              <w:t>28</w:t>
            </w:r>
            <w:r w:rsidR="00233458">
              <w:rPr>
                <w:b w:val="0"/>
                <w:sz w:val="24"/>
                <w:szCs w:val="24"/>
              </w:rPr>
              <w:fldChar w:fldCharType="end"/>
            </w:r>
          </w:hyperlink>
        </w:p>
        <w:p w:rsidR="000E6FD9" w:rsidRDefault="00E10815">
          <w:pPr>
            <w:pStyle w:val="13"/>
            <w:tabs>
              <w:tab w:val="right" w:leader="dot" w:pos="9344"/>
            </w:tabs>
            <w:spacing w:before="0" w:after="0" w:line="360" w:lineRule="auto"/>
            <w:rPr>
              <w:rFonts w:asciiTheme="minorHAnsi" w:eastAsiaTheme="minorEastAsia" w:hAnsiTheme="minorHAnsi" w:cstheme="minorBidi"/>
              <w:b w:val="0"/>
              <w:sz w:val="24"/>
              <w:szCs w:val="24"/>
            </w:rPr>
          </w:pPr>
          <w:hyperlink w:anchor="_Toc40995909" w:history="1">
            <w:r w:rsidR="00233458">
              <w:rPr>
                <w:rStyle w:val="afa"/>
                <w:b w:val="0"/>
                <w:sz w:val="24"/>
                <w:szCs w:val="24"/>
              </w:rPr>
              <w:t>Библиография</w:t>
            </w:r>
            <w:r w:rsidR="00233458">
              <w:rPr>
                <w:b w:val="0"/>
                <w:sz w:val="24"/>
                <w:szCs w:val="24"/>
              </w:rPr>
              <w:tab/>
            </w:r>
            <w:r w:rsidR="00233458">
              <w:rPr>
                <w:b w:val="0"/>
                <w:sz w:val="24"/>
                <w:szCs w:val="24"/>
              </w:rPr>
              <w:fldChar w:fldCharType="begin"/>
            </w:r>
            <w:r w:rsidR="00233458">
              <w:rPr>
                <w:b w:val="0"/>
                <w:sz w:val="24"/>
                <w:szCs w:val="24"/>
              </w:rPr>
              <w:instrText xml:space="preserve"> PAGEREF _Toc40995909 \h </w:instrText>
            </w:r>
            <w:r w:rsidR="00233458">
              <w:rPr>
                <w:b w:val="0"/>
                <w:sz w:val="24"/>
                <w:szCs w:val="24"/>
              </w:rPr>
            </w:r>
            <w:r w:rsidR="00233458">
              <w:rPr>
                <w:b w:val="0"/>
                <w:sz w:val="24"/>
                <w:szCs w:val="24"/>
              </w:rPr>
              <w:fldChar w:fldCharType="separate"/>
            </w:r>
            <w:r w:rsidR="00233458">
              <w:rPr>
                <w:b w:val="0"/>
                <w:sz w:val="24"/>
                <w:szCs w:val="24"/>
              </w:rPr>
              <w:t>29</w:t>
            </w:r>
            <w:r w:rsidR="00233458">
              <w:rPr>
                <w:b w:val="0"/>
                <w:sz w:val="24"/>
                <w:szCs w:val="24"/>
              </w:rPr>
              <w:fldChar w:fldCharType="end"/>
            </w:r>
          </w:hyperlink>
        </w:p>
        <w:p w:rsidR="000E6FD9" w:rsidRDefault="00233458">
          <w:pPr>
            <w:spacing w:line="360" w:lineRule="auto"/>
            <w:rPr>
              <w:rFonts w:ascii="Arial" w:hAnsi="Arial" w:cs="Arial"/>
            </w:rPr>
          </w:pPr>
          <w:r>
            <w:rPr>
              <w:rFonts w:ascii="Arial" w:hAnsi="Arial" w:cs="Arial"/>
              <w:bCs/>
            </w:rPr>
            <w:fldChar w:fldCharType="end"/>
          </w:r>
        </w:p>
      </w:sdtContent>
    </w:sdt>
    <w:p w:rsidR="000E6FD9" w:rsidRDefault="00233458">
      <w:pPr>
        <w:suppressAutoHyphens w:val="0"/>
        <w:rPr>
          <w:rFonts w:ascii="Arial" w:hAnsi="Arial" w:cs="Arial"/>
        </w:rPr>
      </w:pPr>
      <w:r>
        <w:rPr>
          <w:rFonts w:ascii="Arial" w:hAnsi="Arial" w:cs="Arial"/>
        </w:rPr>
        <w:br w:type="page"/>
      </w:r>
    </w:p>
    <w:p w:rsidR="000E6FD9" w:rsidRDefault="00233458">
      <w:pPr>
        <w:pStyle w:val="1"/>
        <w:spacing w:before="240" w:after="240"/>
        <w:jc w:val="center"/>
        <w:rPr>
          <w:rFonts w:ascii="Arial" w:hAnsi="Arial" w:cs="Arial"/>
          <w:color w:val="auto"/>
        </w:rPr>
      </w:pPr>
      <w:bookmarkStart w:id="4" w:name="_Toc40995879"/>
      <w:r>
        <w:rPr>
          <w:rFonts w:ascii="Arial" w:hAnsi="Arial" w:cs="Arial"/>
          <w:color w:val="auto"/>
        </w:rPr>
        <w:lastRenderedPageBreak/>
        <w:t>Введение</w:t>
      </w:r>
      <w:bookmarkEnd w:id="4"/>
    </w:p>
    <w:p w:rsidR="000E6FD9" w:rsidRDefault="00233458" w:rsidP="00D76FBB">
      <w:pPr>
        <w:suppressAutoHyphens w:val="0"/>
        <w:spacing w:line="360" w:lineRule="auto"/>
        <w:ind w:firstLine="567"/>
        <w:jc w:val="both"/>
        <w:rPr>
          <w:rFonts w:ascii="Arial" w:hAnsi="Arial" w:cs="Arial"/>
        </w:rPr>
      </w:pPr>
      <w:r>
        <w:rPr>
          <w:rFonts w:ascii="Arial" w:hAnsi="Arial" w:cs="Arial"/>
        </w:rPr>
        <w:t xml:space="preserve">Молекулярная диагностика </w:t>
      </w:r>
      <w:r>
        <w:rPr>
          <w:rFonts w:ascii="Arial" w:hAnsi="Arial" w:cs="Arial"/>
          <w:lang w:bidi="en-US"/>
        </w:rPr>
        <w:t>in</w:t>
      </w:r>
      <w:r>
        <w:rPr>
          <w:rFonts w:ascii="Arial" w:hAnsi="Arial" w:cs="Arial"/>
        </w:rPr>
        <w:t xml:space="preserve"> </w:t>
      </w:r>
      <w:r>
        <w:rPr>
          <w:rFonts w:ascii="Arial" w:hAnsi="Arial" w:cs="Arial"/>
          <w:lang w:bidi="en-US"/>
        </w:rPr>
        <w:t>vitro</w:t>
      </w:r>
      <w:r>
        <w:rPr>
          <w:rFonts w:ascii="Arial" w:hAnsi="Arial" w:cs="Arial"/>
        </w:rPr>
        <w:t>, включая молекулярную патологию, позволила добиться значительного прогресса в медицине. Ожидается дальнейший прогресс в области новых технологий анализа нуклеиновых кислот, белков и метаболитов в тканях и жидкостях человеческого организма. Однако контуры и/или целостность этих молекул может существенно изменяется во время сбора образцов, транспортировки, хранения и обработки, что делает результат диагностики или исследования ненадёжным или даже невозможным, поскольку последующей анализ исследования будет определять не ситуацию у пациента, а искусственную характеристику, созданную в процессе предварительного исследования.</w:t>
      </w:r>
    </w:p>
    <w:p w:rsidR="000E6FD9" w:rsidRDefault="00233458" w:rsidP="00D76FBB">
      <w:pPr>
        <w:suppressAutoHyphens w:val="0"/>
        <w:spacing w:line="360" w:lineRule="auto"/>
        <w:ind w:firstLine="567"/>
        <w:jc w:val="both"/>
        <w:rPr>
          <w:rFonts w:ascii="Arial" w:hAnsi="Arial" w:cs="Arial"/>
        </w:rPr>
      </w:pPr>
      <w:r>
        <w:rPr>
          <w:rFonts w:ascii="Arial" w:hAnsi="Arial" w:cs="Arial"/>
        </w:rPr>
        <w:t>Хотя первоначально считалось, что это невозможно из-за сшивающих активности формальдегида, методы выделение белка из фиксированных формалином и внедрённых парафин тканей(</w:t>
      </w:r>
      <w:r>
        <w:rPr>
          <w:rFonts w:ascii="Arial" w:hAnsi="Arial" w:cs="Arial"/>
          <w:lang w:bidi="en-US"/>
        </w:rPr>
        <w:t>FFPE</w:t>
      </w:r>
      <w:r>
        <w:rPr>
          <w:rFonts w:ascii="Arial" w:hAnsi="Arial" w:cs="Arial"/>
        </w:rPr>
        <w:t xml:space="preserve">) в последние годы значительно улучшились. Термоиндуцированное реверсирование индуцированных формальдегидом поперечных связей было важным шагом в процедурах выделение белка. В настоящее время большинство исследователей признают, что белки, выделенные из ткани </w:t>
      </w:r>
      <w:r>
        <w:rPr>
          <w:rFonts w:ascii="Arial" w:hAnsi="Arial" w:cs="Arial"/>
          <w:lang w:bidi="en-US"/>
        </w:rPr>
        <w:t>FFPE</w:t>
      </w:r>
      <w:r>
        <w:rPr>
          <w:rFonts w:ascii="Arial" w:hAnsi="Arial" w:cs="Arial"/>
        </w:rPr>
        <w:t xml:space="preserve"> , пригодны для последующего протеомного исследования.</w:t>
      </w:r>
    </w:p>
    <w:p w:rsidR="000E6FD9" w:rsidRDefault="00233458" w:rsidP="00D76FBB">
      <w:pPr>
        <w:suppressAutoHyphens w:val="0"/>
        <w:spacing w:line="360" w:lineRule="auto"/>
        <w:ind w:firstLine="567"/>
        <w:jc w:val="both"/>
        <w:rPr>
          <w:rFonts w:ascii="Arial" w:hAnsi="Arial" w:cs="Arial"/>
        </w:rPr>
      </w:pPr>
      <w:r>
        <w:rPr>
          <w:rFonts w:ascii="Arial" w:hAnsi="Arial" w:cs="Arial"/>
        </w:rPr>
        <w:t>Белковые профили, целостность белков и взаимодействие белка с белком в тканях могут резко изменяться до, во время и после сбора (например, из-за индукции генов, регуляции снижения генов, деградации белков). Количество видов белка может изменяться по-разному ткани в разных доноров/пациентов. На выраженность генов может влиять данное лечение или вмешательство (хирургическое вмешательство, биопсия), или препараты, вводимые для обезболивания или даже лечение сопутствующего заболевания, а также при различных условиях окружающей среды после удаления ткани из организма.</w:t>
      </w:r>
    </w:p>
    <w:p w:rsidR="000E6FD9" w:rsidRDefault="00233458" w:rsidP="00D76FBB">
      <w:pPr>
        <w:suppressAutoHyphens w:val="0"/>
        <w:spacing w:line="360" w:lineRule="auto"/>
        <w:ind w:firstLine="567"/>
        <w:jc w:val="both"/>
        <w:rPr>
          <w:rFonts w:ascii="Arial" w:hAnsi="Arial" w:cs="Arial"/>
        </w:rPr>
      </w:pPr>
      <w:r>
        <w:rPr>
          <w:rFonts w:ascii="Arial" w:hAnsi="Arial" w:cs="Arial"/>
        </w:rPr>
        <w:t>Кроме того, процессы фиксации в формалине и размещение в парафине приводят к модификации белковых молекул, что может повлиять на достоверность и надёжность результатов исследования.</w:t>
      </w:r>
    </w:p>
    <w:p w:rsidR="000E6FD9" w:rsidRDefault="00233458" w:rsidP="00D76FBB">
      <w:pPr>
        <w:suppressAutoHyphens w:val="0"/>
        <w:spacing w:line="360" w:lineRule="auto"/>
        <w:ind w:firstLine="567"/>
        <w:jc w:val="both"/>
        <w:rPr>
          <w:rFonts w:ascii="Arial" w:hAnsi="Arial" w:cs="Arial"/>
        </w:rPr>
      </w:pPr>
      <w:r>
        <w:rPr>
          <w:rFonts w:ascii="Arial" w:hAnsi="Arial" w:cs="Arial"/>
        </w:rPr>
        <w:lastRenderedPageBreak/>
        <w:t>Поэтому крайне важно принять специальные меры для минимизации описанных изменений белкового профиля и модификации внутри тканей для последующего исследования.</w:t>
      </w:r>
    </w:p>
    <w:p w:rsidR="000E6FD9" w:rsidRDefault="00233458" w:rsidP="00D76FBB">
      <w:pPr>
        <w:suppressAutoHyphens w:val="0"/>
        <w:spacing w:line="360" w:lineRule="auto"/>
        <w:ind w:firstLine="567"/>
        <w:jc w:val="both"/>
        <w:rPr>
          <w:rFonts w:ascii="Arial" w:hAnsi="Arial" w:cs="Arial"/>
        </w:rPr>
      </w:pPr>
      <w:r>
        <w:rPr>
          <w:rFonts w:ascii="Arial" w:hAnsi="Arial" w:cs="Arial"/>
        </w:rPr>
        <w:t xml:space="preserve">Необходима стандартизация всего процесса от сбора образцов до исследования белка. Были проведены исследования для определения важных влияющих факторов. </w:t>
      </w:r>
      <w:r w:rsidR="00C37F02">
        <w:rPr>
          <w:rFonts w:ascii="Arial" w:hAnsi="Arial" w:cs="Arial"/>
        </w:rPr>
        <w:t>Настоящий стандарт</w:t>
      </w:r>
      <w:r>
        <w:rPr>
          <w:rFonts w:ascii="Arial" w:hAnsi="Arial" w:cs="Arial"/>
        </w:rPr>
        <w:t xml:space="preserve"> опирается на такую работу по кодификации и стандартизации шагов для ткани </w:t>
      </w:r>
      <w:r>
        <w:rPr>
          <w:rFonts w:ascii="Arial" w:hAnsi="Arial" w:cs="Arial"/>
          <w:lang w:bidi="en-US"/>
        </w:rPr>
        <w:t>FFPE</w:t>
      </w:r>
      <w:r>
        <w:rPr>
          <w:rFonts w:ascii="Arial" w:hAnsi="Arial" w:cs="Arial"/>
        </w:rPr>
        <w:t xml:space="preserve"> в отношении исследования белка</w:t>
      </w:r>
      <w:proofErr w:type="gramStart"/>
      <w:r>
        <w:rPr>
          <w:rFonts w:ascii="Arial" w:hAnsi="Arial" w:cs="Arial"/>
        </w:rPr>
        <w:t xml:space="preserve"> ,</w:t>
      </w:r>
      <w:proofErr w:type="gramEnd"/>
      <w:r>
        <w:rPr>
          <w:rFonts w:ascii="Arial" w:hAnsi="Arial" w:cs="Arial"/>
        </w:rPr>
        <w:t xml:space="preserve"> который называется предисследовательским этапом.</w:t>
      </w:r>
    </w:p>
    <w:p w:rsidR="000E6FD9" w:rsidRDefault="00233458" w:rsidP="00D76FBB">
      <w:pPr>
        <w:suppressAutoHyphens w:val="0"/>
        <w:spacing w:line="360" w:lineRule="auto"/>
        <w:ind w:firstLine="567"/>
        <w:jc w:val="both"/>
        <w:rPr>
          <w:rFonts w:ascii="Arial" w:hAnsi="Arial" w:cs="Arial"/>
        </w:rPr>
      </w:pPr>
      <w:r>
        <w:rPr>
          <w:rFonts w:ascii="Arial" w:hAnsi="Arial" w:cs="Arial"/>
        </w:rPr>
        <w:t xml:space="preserve">В </w:t>
      </w:r>
      <w:r w:rsidR="006B3B41">
        <w:rPr>
          <w:rFonts w:ascii="Arial" w:hAnsi="Arial" w:cs="Arial"/>
        </w:rPr>
        <w:t>настоящем стандарте</w:t>
      </w:r>
      <w:r>
        <w:rPr>
          <w:rFonts w:ascii="Arial" w:hAnsi="Arial" w:cs="Arial"/>
        </w:rPr>
        <w:t xml:space="preserve"> использованы следующие формулировки:</w:t>
      </w:r>
    </w:p>
    <w:p w:rsidR="000E6FD9" w:rsidRDefault="00233458" w:rsidP="00C37F02">
      <w:pPr>
        <w:numPr>
          <w:ilvl w:val="0"/>
          <w:numId w:val="2"/>
        </w:numPr>
        <w:tabs>
          <w:tab w:val="left" w:pos="993"/>
        </w:tabs>
        <w:suppressAutoHyphens w:val="0"/>
        <w:spacing w:line="360" w:lineRule="auto"/>
        <w:ind w:left="0" w:firstLine="567"/>
        <w:jc w:val="both"/>
        <w:rPr>
          <w:rFonts w:ascii="Arial" w:hAnsi="Arial" w:cs="Arial"/>
          <w:lang w:bidi="en-US"/>
        </w:rPr>
      </w:pPr>
      <w:r>
        <w:rPr>
          <w:rFonts w:ascii="Arial" w:hAnsi="Arial" w:cs="Arial"/>
          <w:lang w:bidi="en-US"/>
        </w:rPr>
        <w:t xml:space="preserve">"shall" </w:t>
      </w:r>
      <w:r>
        <w:rPr>
          <w:rFonts w:ascii="Arial" w:hAnsi="Arial" w:cs="Arial"/>
        </w:rPr>
        <w:t>означает требование</w:t>
      </w:r>
      <w:r>
        <w:rPr>
          <w:rFonts w:ascii="Arial" w:hAnsi="Arial" w:cs="Arial"/>
          <w:lang w:bidi="en-US"/>
        </w:rPr>
        <w:t>;</w:t>
      </w:r>
    </w:p>
    <w:p w:rsidR="000E6FD9" w:rsidRDefault="00233458" w:rsidP="00C37F02">
      <w:pPr>
        <w:numPr>
          <w:ilvl w:val="0"/>
          <w:numId w:val="2"/>
        </w:numPr>
        <w:tabs>
          <w:tab w:val="left" w:pos="993"/>
        </w:tabs>
        <w:suppressAutoHyphens w:val="0"/>
        <w:spacing w:line="360" w:lineRule="auto"/>
        <w:ind w:left="0" w:firstLine="567"/>
        <w:jc w:val="both"/>
        <w:rPr>
          <w:rFonts w:ascii="Arial" w:hAnsi="Arial" w:cs="Arial"/>
          <w:lang w:bidi="en-US"/>
        </w:rPr>
      </w:pPr>
      <w:r>
        <w:rPr>
          <w:rFonts w:ascii="Arial" w:hAnsi="Arial" w:cs="Arial"/>
          <w:lang w:bidi="en-US"/>
        </w:rPr>
        <w:t>"should" означает рекомендацию;</w:t>
      </w:r>
    </w:p>
    <w:p w:rsidR="000E6FD9" w:rsidRDefault="00233458" w:rsidP="00C37F02">
      <w:pPr>
        <w:numPr>
          <w:ilvl w:val="0"/>
          <w:numId w:val="2"/>
        </w:numPr>
        <w:tabs>
          <w:tab w:val="left" w:pos="993"/>
        </w:tabs>
        <w:suppressAutoHyphens w:val="0"/>
        <w:spacing w:line="360" w:lineRule="auto"/>
        <w:ind w:left="0" w:firstLine="567"/>
        <w:jc w:val="both"/>
        <w:rPr>
          <w:rFonts w:ascii="Arial" w:hAnsi="Arial" w:cs="Arial"/>
          <w:lang w:bidi="en-US"/>
        </w:rPr>
      </w:pPr>
      <w:r>
        <w:rPr>
          <w:rFonts w:ascii="Arial" w:hAnsi="Arial" w:cs="Arial"/>
          <w:lang w:bidi="en-US"/>
        </w:rPr>
        <w:t xml:space="preserve">"may" </w:t>
      </w:r>
      <w:r>
        <w:rPr>
          <w:rFonts w:ascii="Arial" w:hAnsi="Arial" w:cs="Arial"/>
        </w:rPr>
        <w:t>означает разрешение</w:t>
      </w:r>
      <w:r>
        <w:rPr>
          <w:rFonts w:ascii="Arial" w:hAnsi="Arial" w:cs="Arial"/>
          <w:lang w:bidi="en-US"/>
        </w:rPr>
        <w:t>;</w:t>
      </w:r>
    </w:p>
    <w:p w:rsidR="000E6FD9" w:rsidRDefault="00233458" w:rsidP="00C37F02">
      <w:pPr>
        <w:numPr>
          <w:ilvl w:val="0"/>
          <w:numId w:val="2"/>
        </w:numPr>
        <w:tabs>
          <w:tab w:val="left" w:pos="993"/>
        </w:tabs>
        <w:suppressAutoHyphens w:val="0"/>
        <w:spacing w:line="360" w:lineRule="auto"/>
        <w:ind w:left="0" w:firstLine="567"/>
        <w:jc w:val="both"/>
        <w:rPr>
          <w:rFonts w:ascii="Arial" w:hAnsi="Arial" w:cs="Arial"/>
        </w:rPr>
      </w:pPr>
      <w:r>
        <w:rPr>
          <w:rFonts w:ascii="Arial" w:hAnsi="Arial" w:cs="Arial"/>
        </w:rPr>
        <w:t>"</w:t>
      </w:r>
      <w:r>
        <w:rPr>
          <w:rFonts w:ascii="Arial" w:hAnsi="Arial" w:cs="Arial"/>
          <w:lang w:bidi="en-US"/>
        </w:rPr>
        <w:t>can</w:t>
      </w:r>
      <w:r>
        <w:rPr>
          <w:rFonts w:ascii="Arial" w:hAnsi="Arial" w:cs="Arial"/>
        </w:rPr>
        <w:t>" означает возможность или потенциал.</w:t>
      </w:r>
    </w:p>
    <w:p w:rsidR="000E6FD9" w:rsidRDefault="000E6FD9" w:rsidP="00D76FBB">
      <w:pPr>
        <w:suppressAutoHyphens w:val="0"/>
        <w:spacing w:after="120" w:line="360" w:lineRule="auto"/>
        <w:ind w:firstLine="567"/>
        <w:jc w:val="both"/>
        <w:rPr>
          <w:rFonts w:ascii="Arial" w:hAnsi="Arial" w:cs="Arial"/>
        </w:rPr>
      </w:pPr>
    </w:p>
    <w:p w:rsidR="000E6FD9" w:rsidRDefault="000E6FD9">
      <w:pPr>
        <w:suppressAutoHyphens w:val="0"/>
        <w:spacing w:before="120" w:after="120" w:line="360" w:lineRule="auto"/>
        <w:jc w:val="both"/>
        <w:rPr>
          <w:rFonts w:ascii="Arial" w:hAnsi="Arial" w:cs="Arial"/>
          <w:b/>
          <w:caps/>
          <w:spacing w:val="70"/>
          <w:szCs w:val="20"/>
          <w:lang w:eastAsia="ja-JP"/>
        </w:rPr>
        <w:sectPr w:rsidR="000E6FD9">
          <w:headerReference w:type="even" r:id="rId13"/>
          <w:headerReference w:type="default" r:id="rId14"/>
          <w:footerReference w:type="even" r:id="rId15"/>
          <w:footerReference w:type="default" r:id="rId16"/>
          <w:pgSz w:w="11906" w:h="16838"/>
          <w:pgMar w:top="680" w:right="851" w:bottom="249" w:left="1701" w:header="0" w:footer="402" w:gutter="0"/>
          <w:pgNumType w:fmt="upperRoman"/>
          <w:cols w:space="720"/>
          <w:formProt w:val="0"/>
          <w:titlePg/>
          <w:docGrid w:linePitch="326" w:charSpace="-6145"/>
        </w:sectPr>
      </w:pPr>
    </w:p>
    <w:p w:rsidR="000E6FD9" w:rsidRPr="00A53C26" w:rsidRDefault="00233458">
      <w:pPr>
        <w:pStyle w:val="a4"/>
        <w:widowControl w:val="0"/>
        <w:pBdr>
          <w:bottom w:val="single" w:sz="24" w:space="1" w:color="00000A"/>
        </w:pBdr>
        <w:ind w:firstLine="0"/>
        <w:rPr>
          <w:rFonts w:cs="Arial"/>
          <w:caps/>
          <w:spacing w:val="50"/>
          <w:sz w:val="24"/>
        </w:rPr>
      </w:pPr>
      <w:r w:rsidRPr="00A53C26">
        <w:rPr>
          <w:rFonts w:cs="Arial"/>
          <w:caps/>
          <w:spacing w:val="50"/>
          <w:sz w:val="24"/>
        </w:rPr>
        <w:lastRenderedPageBreak/>
        <w:t>национальный стандарт Российской федерации</w:t>
      </w:r>
    </w:p>
    <w:p w:rsidR="000E6FD9" w:rsidRDefault="000E6FD9">
      <w:pPr>
        <w:pStyle w:val="FR1"/>
        <w:spacing w:line="240" w:lineRule="auto"/>
        <w:ind w:left="0" w:right="0"/>
        <w:rPr>
          <w:rFonts w:ascii="Arial" w:hAnsi="Arial" w:cs="Arial"/>
          <w:bCs/>
          <w:sz w:val="12"/>
          <w:szCs w:val="12"/>
        </w:rPr>
      </w:pPr>
    </w:p>
    <w:p w:rsidR="000E6FD9" w:rsidRDefault="00233458" w:rsidP="00E10815">
      <w:pPr>
        <w:ind w:left="-142" w:right="-144"/>
        <w:jc w:val="center"/>
        <w:rPr>
          <w:rFonts w:ascii="Arial" w:hAnsi="Arial" w:cs="Arial"/>
          <w:b/>
          <w:sz w:val="28"/>
        </w:rPr>
      </w:pPr>
      <w:r>
        <w:rPr>
          <w:rFonts w:ascii="Arial" w:hAnsi="Arial" w:cs="Arial"/>
          <w:b/>
          <w:sz w:val="28"/>
        </w:rPr>
        <w:t xml:space="preserve">Молекулярные диагностические исследования </w:t>
      </w:r>
      <w:proofErr w:type="spellStart"/>
      <w:r>
        <w:rPr>
          <w:rFonts w:ascii="Arial" w:hAnsi="Arial" w:cs="Arial"/>
          <w:b/>
          <w:sz w:val="28"/>
        </w:rPr>
        <w:t>in</w:t>
      </w:r>
      <w:proofErr w:type="spellEnd"/>
      <w:r>
        <w:rPr>
          <w:rFonts w:ascii="Arial" w:hAnsi="Arial" w:cs="Arial"/>
          <w:b/>
          <w:sz w:val="28"/>
        </w:rPr>
        <w:t xml:space="preserve"> </w:t>
      </w:r>
      <w:proofErr w:type="spellStart"/>
      <w:r>
        <w:rPr>
          <w:rFonts w:ascii="Arial" w:hAnsi="Arial" w:cs="Arial"/>
          <w:b/>
          <w:sz w:val="28"/>
        </w:rPr>
        <w:t>vitro</w:t>
      </w:r>
      <w:proofErr w:type="spellEnd"/>
      <w:r>
        <w:rPr>
          <w:rFonts w:ascii="Arial" w:hAnsi="Arial" w:cs="Arial"/>
          <w:b/>
          <w:sz w:val="28"/>
        </w:rPr>
        <w:t xml:space="preserve"> </w:t>
      </w:r>
    </w:p>
    <w:p w:rsidR="000E6FD9" w:rsidRDefault="00233458" w:rsidP="00E10815">
      <w:pPr>
        <w:ind w:left="-142" w:right="-144"/>
        <w:jc w:val="center"/>
        <w:rPr>
          <w:rFonts w:ascii="Arial" w:hAnsi="Arial" w:cs="Arial"/>
          <w:b/>
          <w:sz w:val="32"/>
          <w:szCs w:val="32"/>
        </w:rPr>
      </w:pPr>
      <w:r>
        <w:rPr>
          <w:rFonts w:ascii="Arial" w:hAnsi="Arial" w:cs="Arial"/>
          <w:b/>
          <w:sz w:val="32"/>
          <w:szCs w:val="32"/>
        </w:rPr>
        <w:t>Технические условия на процессы перед исследовани</w:t>
      </w:r>
      <w:r w:rsidR="00E10815">
        <w:rPr>
          <w:rFonts w:ascii="Arial" w:hAnsi="Arial" w:cs="Arial"/>
          <w:b/>
          <w:sz w:val="32"/>
          <w:szCs w:val="32"/>
        </w:rPr>
        <w:t>я</w:t>
      </w:r>
      <w:r>
        <w:rPr>
          <w:rFonts w:ascii="Arial" w:hAnsi="Arial" w:cs="Arial"/>
          <w:b/>
          <w:sz w:val="32"/>
          <w:szCs w:val="32"/>
        </w:rPr>
        <w:t>м</w:t>
      </w:r>
      <w:r w:rsidR="00E10815">
        <w:rPr>
          <w:rFonts w:ascii="Arial" w:hAnsi="Arial" w:cs="Arial"/>
          <w:b/>
          <w:sz w:val="32"/>
          <w:szCs w:val="32"/>
        </w:rPr>
        <w:t>и</w:t>
      </w:r>
      <w:r>
        <w:rPr>
          <w:rFonts w:ascii="Arial" w:hAnsi="Arial" w:cs="Arial"/>
          <w:b/>
          <w:sz w:val="32"/>
          <w:szCs w:val="32"/>
        </w:rPr>
        <w:t xml:space="preserve"> тканей с </w:t>
      </w:r>
      <w:proofErr w:type="gramStart"/>
      <w:r>
        <w:rPr>
          <w:rFonts w:ascii="Arial" w:hAnsi="Arial" w:cs="Arial"/>
          <w:b/>
          <w:sz w:val="32"/>
          <w:szCs w:val="32"/>
        </w:rPr>
        <w:t>фиксированной</w:t>
      </w:r>
      <w:proofErr w:type="gramEnd"/>
      <w:r>
        <w:rPr>
          <w:rFonts w:ascii="Arial" w:hAnsi="Arial" w:cs="Arial"/>
          <w:b/>
          <w:sz w:val="32"/>
          <w:szCs w:val="32"/>
        </w:rPr>
        <w:t xml:space="preserve"> </w:t>
      </w:r>
      <w:r w:rsidR="00A53C26">
        <w:rPr>
          <w:rFonts w:ascii="Arial" w:hAnsi="Arial" w:cs="Arial"/>
          <w:b/>
          <w:sz w:val="32"/>
          <w:szCs w:val="32"/>
        </w:rPr>
        <w:t>формалином</w:t>
      </w:r>
      <w:r>
        <w:rPr>
          <w:rFonts w:ascii="Arial" w:hAnsi="Arial" w:cs="Arial"/>
          <w:b/>
          <w:sz w:val="32"/>
          <w:szCs w:val="32"/>
        </w:rPr>
        <w:t xml:space="preserve"> и с парафином (FFPE)</w:t>
      </w:r>
      <w:bookmarkStart w:id="5" w:name="_GoBack"/>
      <w:bookmarkEnd w:id="5"/>
    </w:p>
    <w:p w:rsidR="000E6FD9" w:rsidRDefault="00233458">
      <w:pPr>
        <w:jc w:val="center"/>
        <w:rPr>
          <w:b/>
          <w:lang w:val="en-US"/>
        </w:rPr>
      </w:pPr>
      <w:r>
        <w:rPr>
          <w:rFonts w:ascii="Arial" w:hAnsi="Arial" w:cs="Arial"/>
          <w:b/>
          <w:sz w:val="28"/>
        </w:rPr>
        <w:t>Часть</w:t>
      </w:r>
      <w:r>
        <w:rPr>
          <w:rFonts w:ascii="Arial" w:hAnsi="Arial" w:cs="Arial"/>
          <w:b/>
          <w:sz w:val="28"/>
          <w:lang w:val="en-US"/>
        </w:rPr>
        <w:t xml:space="preserve"> 2</w:t>
      </w:r>
    </w:p>
    <w:p w:rsidR="000E6FD9" w:rsidRPr="00A53C26" w:rsidRDefault="00233458">
      <w:pPr>
        <w:jc w:val="center"/>
        <w:rPr>
          <w:rFonts w:ascii="Arial" w:hAnsi="Arial" w:cs="Arial"/>
          <w:b/>
          <w:bCs/>
          <w:sz w:val="28"/>
          <w:lang w:val="en-US"/>
        </w:rPr>
      </w:pPr>
      <w:r w:rsidRPr="00A53C26">
        <w:rPr>
          <w:rFonts w:ascii="Arial" w:hAnsi="Arial" w:cs="Arial"/>
          <w:b/>
          <w:bCs/>
          <w:sz w:val="28"/>
        </w:rPr>
        <w:t>Изолированные</w:t>
      </w:r>
      <w:r w:rsidRPr="00A53C26">
        <w:rPr>
          <w:rFonts w:ascii="Arial" w:hAnsi="Arial" w:cs="Arial"/>
          <w:b/>
          <w:bCs/>
          <w:sz w:val="28"/>
          <w:lang w:val="en-US"/>
        </w:rPr>
        <w:t xml:space="preserve"> </w:t>
      </w:r>
      <w:r w:rsidRPr="00A53C26">
        <w:rPr>
          <w:rFonts w:ascii="Arial" w:hAnsi="Arial" w:cs="Arial"/>
          <w:b/>
          <w:bCs/>
          <w:sz w:val="28"/>
        </w:rPr>
        <w:t>белки</w:t>
      </w:r>
    </w:p>
    <w:p w:rsidR="000E6FD9" w:rsidRDefault="000E6FD9">
      <w:pPr>
        <w:jc w:val="center"/>
        <w:rPr>
          <w:rFonts w:ascii="Arial" w:hAnsi="Arial" w:cs="Arial"/>
          <w:b/>
          <w:bCs/>
          <w:i/>
          <w:sz w:val="28"/>
          <w:lang w:val="en-US"/>
        </w:rPr>
      </w:pPr>
    </w:p>
    <w:p w:rsidR="000E6FD9" w:rsidRDefault="00233458">
      <w:pPr>
        <w:widowControl w:val="0"/>
        <w:jc w:val="center"/>
        <w:rPr>
          <w:rFonts w:ascii="Arial" w:hAnsi="Arial" w:cs="Arial"/>
          <w:b/>
          <w:bCs/>
          <w:lang w:val="en-US"/>
        </w:rPr>
      </w:pPr>
      <w:r>
        <w:rPr>
          <w:rFonts w:ascii="Arial" w:hAnsi="Arial" w:cs="Arial"/>
          <w:b/>
          <w:bCs/>
          <w:lang w:val="en-US"/>
        </w:rPr>
        <w:t>Molecular in vitro diagnostic examinations — Specifications for pre-examination processes for formalin-fixed and paraffin-embedded (FFPE) tissue — Part 2: Isolated proteins</w:t>
      </w:r>
    </w:p>
    <w:p w:rsidR="000E6FD9" w:rsidRDefault="000E6FD9">
      <w:pPr>
        <w:widowControl w:val="0"/>
        <w:pBdr>
          <w:bottom w:val="single" w:sz="18" w:space="0" w:color="00000A"/>
        </w:pBdr>
        <w:jc w:val="center"/>
        <w:rPr>
          <w:sz w:val="16"/>
          <w:szCs w:val="16"/>
          <w:lang w:val="en-US"/>
        </w:rPr>
      </w:pPr>
    </w:p>
    <w:p w:rsidR="000E6FD9" w:rsidRDefault="00233458">
      <w:pPr>
        <w:widowControl w:val="0"/>
        <w:spacing w:before="120"/>
        <w:ind w:firstLine="680"/>
        <w:jc w:val="right"/>
      </w:pPr>
      <w:r>
        <w:rPr>
          <w:rFonts w:ascii="Arial" w:hAnsi="Arial" w:cs="Arial"/>
          <w:b/>
        </w:rPr>
        <w:t>Дата введения – 2020–__–__</w:t>
      </w:r>
    </w:p>
    <w:p w:rsidR="000E6FD9" w:rsidRDefault="00233458" w:rsidP="00A53C26">
      <w:pPr>
        <w:pStyle w:val="1"/>
        <w:spacing w:before="240" w:after="240"/>
        <w:ind w:firstLine="567"/>
        <w:rPr>
          <w:rFonts w:ascii="Arial" w:hAnsi="Arial" w:cs="Arial"/>
          <w:color w:val="auto"/>
        </w:rPr>
      </w:pPr>
      <w:bookmarkStart w:id="6" w:name="_Toc40995880"/>
      <w:r>
        <w:rPr>
          <w:rFonts w:ascii="Arial" w:hAnsi="Arial" w:cs="Arial"/>
          <w:color w:val="auto"/>
        </w:rPr>
        <w:t>1 Область применения</w:t>
      </w:r>
      <w:bookmarkEnd w:id="6"/>
    </w:p>
    <w:p w:rsidR="000E6FD9" w:rsidRDefault="00233458" w:rsidP="00A53C26">
      <w:pPr>
        <w:spacing w:before="120" w:after="120" w:line="360" w:lineRule="auto"/>
        <w:ind w:firstLine="567"/>
        <w:jc w:val="both"/>
        <w:rPr>
          <w:rFonts w:ascii="Arial" w:hAnsi="Arial" w:cs="Arial"/>
        </w:rPr>
      </w:pPr>
      <w:r>
        <w:rPr>
          <w:rFonts w:ascii="Arial" w:hAnsi="Arial" w:cs="Arial"/>
        </w:rPr>
        <w:t xml:space="preserve">В настоящем </w:t>
      </w:r>
      <w:r w:rsidR="006B3B41">
        <w:rPr>
          <w:rFonts w:ascii="Arial" w:hAnsi="Arial" w:cs="Arial"/>
        </w:rPr>
        <w:t>стандарте</w:t>
      </w:r>
      <w:r>
        <w:rPr>
          <w:rFonts w:ascii="Arial" w:hAnsi="Arial" w:cs="Arial"/>
        </w:rPr>
        <w:t xml:space="preserve"> даются рекомендации по транспортировке, документированию, хранению и обработке образцов тканей, фиксированных формалином и заключённых в парафин (</w:t>
      </w:r>
      <w:r>
        <w:rPr>
          <w:rFonts w:ascii="Arial" w:hAnsi="Arial" w:cs="Arial"/>
          <w:lang w:bidi="en-US"/>
        </w:rPr>
        <w:t>FFPE</w:t>
      </w:r>
      <w:r>
        <w:rPr>
          <w:rFonts w:ascii="Arial" w:hAnsi="Arial" w:cs="Arial"/>
        </w:rPr>
        <w:t>), предназначенных для исследования изолированных белков на этапе предварительного исследования перед проведением молекулярного анализа.</w:t>
      </w:r>
    </w:p>
    <w:p w:rsidR="000E6FD9" w:rsidRDefault="006B3B41" w:rsidP="00A53C26">
      <w:pPr>
        <w:spacing w:before="120" w:after="120" w:line="360" w:lineRule="auto"/>
        <w:ind w:firstLine="567"/>
        <w:jc w:val="both"/>
        <w:rPr>
          <w:rFonts w:ascii="Arial" w:hAnsi="Arial" w:cs="Arial"/>
        </w:rPr>
      </w:pPr>
      <w:r>
        <w:rPr>
          <w:rFonts w:ascii="Arial" w:hAnsi="Arial" w:cs="Arial"/>
        </w:rPr>
        <w:t>Настоящий стандарт</w:t>
      </w:r>
      <w:r w:rsidR="00233458">
        <w:rPr>
          <w:rFonts w:ascii="Arial" w:hAnsi="Arial" w:cs="Arial"/>
        </w:rPr>
        <w:t xml:space="preserve"> применим к молекулярным диагностическим исследованиям </w:t>
      </w:r>
      <w:r w:rsidR="00233458">
        <w:rPr>
          <w:rFonts w:ascii="Arial" w:hAnsi="Arial" w:cs="Arial"/>
          <w:lang w:bidi="en-US"/>
        </w:rPr>
        <w:t>in</w:t>
      </w:r>
      <w:r w:rsidR="00233458">
        <w:rPr>
          <w:rFonts w:ascii="Arial" w:hAnsi="Arial" w:cs="Arial"/>
        </w:rPr>
        <w:t xml:space="preserve"> </w:t>
      </w:r>
      <w:r w:rsidR="00233458">
        <w:rPr>
          <w:rFonts w:ascii="Arial" w:hAnsi="Arial" w:cs="Arial"/>
          <w:lang w:bidi="en-US"/>
        </w:rPr>
        <w:t>vitro</w:t>
      </w:r>
      <w:r w:rsidR="00233458">
        <w:rPr>
          <w:rFonts w:ascii="Arial" w:hAnsi="Arial" w:cs="Arial"/>
        </w:rPr>
        <w:t xml:space="preserve">, включая лабораторно разработанные тесты, выполняемые медицинскими лабораториями и лабораториями молекулярной патологии. Также он предназначен для использования заказчиками лабораторий, разработчиками и производителями диагностики </w:t>
      </w:r>
      <w:r w:rsidR="00233458">
        <w:rPr>
          <w:rFonts w:ascii="Arial" w:hAnsi="Arial" w:cs="Arial"/>
          <w:lang w:bidi="en-US"/>
        </w:rPr>
        <w:t>in</w:t>
      </w:r>
      <w:r w:rsidR="00233458">
        <w:rPr>
          <w:rFonts w:ascii="Arial" w:hAnsi="Arial" w:cs="Arial"/>
        </w:rPr>
        <w:t xml:space="preserve"> </w:t>
      </w:r>
      <w:r w:rsidR="00233458">
        <w:rPr>
          <w:rFonts w:ascii="Arial" w:hAnsi="Arial" w:cs="Arial"/>
          <w:lang w:bidi="en-US"/>
        </w:rPr>
        <w:t>vitro</w:t>
      </w:r>
      <w:r w:rsidR="00233458">
        <w:rPr>
          <w:rFonts w:ascii="Arial" w:hAnsi="Arial" w:cs="Arial"/>
        </w:rPr>
        <w:t>, биобанками, учреждениями и коммерческими организациями, осуществляющими биомедицинские исследования, а также регулирующими органами.</w:t>
      </w:r>
    </w:p>
    <w:p w:rsidR="000E6FD9" w:rsidRDefault="006B3B41" w:rsidP="00A53C26">
      <w:pPr>
        <w:spacing w:before="120" w:after="120" w:line="360" w:lineRule="auto"/>
        <w:ind w:firstLine="567"/>
        <w:jc w:val="both"/>
        <w:rPr>
          <w:rFonts w:ascii="Arial" w:hAnsi="Arial" w:cs="Arial"/>
        </w:rPr>
      </w:pPr>
      <w:r>
        <w:rPr>
          <w:rFonts w:ascii="Arial" w:hAnsi="Arial" w:cs="Arial"/>
        </w:rPr>
        <w:t>Настоящий стандарт</w:t>
      </w:r>
      <w:r w:rsidR="00233458">
        <w:rPr>
          <w:rFonts w:ascii="Arial" w:hAnsi="Arial" w:cs="Arial"/>
        </w:rPr>
        <w:t xml:space="preserve"> не применим для исследований белка методом иммуногистохимии.</w:t>
      </w:r>
    </w:p>
    <w:p w:rsidR="000E6FD9" w:rsidRDefault="00233458" w:rsidP="00A53C26">
      <w:pPr>
        <w:spacing w:before="120" w:after="120" w:line="360" w:lineRule="auto"/>
        <w:ind w:firstLine="567"/>
        <w:jc w:val="both"/>
        <w:rPr>
          <w:rFonts w:ascii="Arial" w:hAnsi="Arial" w:cs="Arial"/>
          <w:sz w:val="20"/>
          <w:szCs w:val="20"/>
        </w:rPr>
      </w:pPr>
      <w:r>
        <w:rPr>
          <w:rFonts w:ascii="Arial" w:hAnsi="Arial" w:cs="Arial"/>
          <w:sz w:val="20"/>
          <w:szCs w:val="20"/>
        </w:rPr>
        <w:lastRenderedPageBreak/>
        <w:t xml:space="preserve">Примечание </w:t>
      </w:r>
      <w:r>
        <w:rPr>
          <w:rFonts w:ascii="Arial" w:hAnsi="Arial" w:cs="Arial"/>
          <w:sz w:val="20"/>
          <w:szCs w:val="20"/>
        </w:rPr>
        <w:sym w:font="Symbol" w:char="F02D"/>
      </w:r>
      <w:r>
        <w:rPr>
          <w:rFonts w:ascii="Arial" w:hAnsi="Arial" w:cs="Arial"/>
          <w:sz w:val="20"/>
          <w:szCs w:val="20"/>
        </w:rPr>
        <w:t xml:space="preserve"> Международные, национальные или региональные правила или требования могут также применяться к определённым темам, охватываемым в настоящем </w:t>
      </w:r>
      <w:r w:rsidR="006B3B41">
        <w:rPr>
          <w:rFonts w:ascii="Arial" w:hAnsi="Arial" w:cs="Arial"/>
          <w:sz w:val="20"/>
          <w:szCs w:val="20"/>
        </w:rPr>
        <w:t>стандарте</w:t>
      </w:r>
      <w:r>
        <w:rPr>
          <w:rFonts w:ascii="Arial" w:hAnsi="Arial" w:cs="Arial"/>
          <w:sz w:val="20"/>
          <w:szCs w:val="20"/>
        </w:rPr>
        <w:t>.</w:t>
      </w:r>
    </w:p>
    <w:p w:rsidR="000E6FD9" w:rsidRDefault="00233458" w:rsidP="00A53C26">
      <w:pPr>
        <w:pStyle w:val="1"/>
        <w:spacing w:before="240" w:after="240"/>
        <w:ind w:firstLine="567"/>
        <w:rPr>
          <w:rFonts w:ascii="Arial" w:hAnsi="Arial" w:cs="Arial"/>
          <w:color w:val="auto"/>
        </w:rPr>
      </w:pPr>
      <w:bookmarkStart w:id="7" w:name="_Toc40995881"/>
      <w:r>
        <w:rPr>
          <w:rFonts w:ascii="Arial" w:hAnsi="Arial" w:cs="Arial"/>
          <w:color w:val="auto"/>
        </w:rPr>
        <w:t>2 Нормативные ссылки</w:t>
      </w:r>
      <w:bookmarkEnd w:id="7"/>
    </w:p>
    <w:p w:rsidR="000E6FD9" w:rsidRDefault="00233458" w:rsidP="00A53C26">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 xml:space="preserve">Нижеследующие </w:t>
      </w:r>
      <w:r w:rsidR="006B3B41">
        <w:rPr>
          <w:rFonts w:ascii="Arial" w:eastAsiaTheme="minorHAnsi" w:hAnsi="Arial" w:cs="Arial"/>
          <w:lang w:eastAsia="en-US"/>
        </w:rPr>
        <w:t>стандарты</w:t>
      </w:r>
      <w:r>
        <w:rPr>
          <w:rFonts w:ascii="Arial" w:eastAsiaTheme="minorHAnsi" w:hAnsi="Arial" w:cs="Arial"/>
          <w:lang w:eastAsia="en-US"/>
        </w:rPr>
        <w:t xml:space="preserve"> упоминаются в тексте таким образом, что некоторое или всё их содержание составляет требование настоящего </w:t>
      </w:r>
      <w:r w:rsidR="006B3B41">
        <w:rPr>
          <w:rFonts w:ascii="Arial" w:eastAsiaTheme="minorHAnsi" w:hAnsi="Arial" w:cs="Arial"/>
          <w:lang w:eastAsia="en-US"/>
        </w:rPr>
        <w:t>стандарта</w:t>
      </w:r>
      <w:r>
        <w:rPr>
          <w:rFonts w:ascii="Arial" w:eastAsiaTheme="minorHAnsi" w:hAnsi="Arial" w:cs="Arial"/>
          <w:lang w:eastAsia="en-US"/>
        </w:rPr>
        <w:t xml:space="preserve">. Для датированных ссылок применяется только цитируемое издание. Для недатированных ссылок применяется последняя редакция указанного </w:t>
      </w:r>
      <w:r w:rsidR="006B3B41">
        <w:rPr>
          <w:rFonts w:ascii="Arial" w:eastAsiaTheme="minorHAnsi" w:hAnsi="Arial" w:cs="Arial"/>
          <w:lang w:eastAsia="en-US"/>
        </w:rPr>
        <w:t>стандарта</w:t>
      </w:r>
      <w:r>
        <w:rPr>
          <w:rFonts w:ascii="Arial" w:eastAsiaTheme="minorHAnsi" w:hAnsi="Arial" w:cs="Arial"/>
          <w:lang w:eastAsia="en-US"/>
        </w:rPr>
        <w:t xml:space="preserve"> (включая любые поправки).</w:t>
      </w:r>
    </w:p>
    <w:p w:rsidR="000E6FD9" w:rsidRDefault="00233458" w:rsidP="00A53C26">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val="en-US" w:eastAsia="en-US"/>
        </w:rPr>
        <w:t xml:space="preserve">ISO 15189:2012, </w:t>
      </w:r>
      <w:r>
        <w:rPr>
          <w:rFonts w:ascii="Arial" w:eastAsiaTheme="minorHAnsi" w:hAnsi="Arial" w:cs="Arial"/>
          <w:i/>
          <w:lang w:val="en-US" w:eastAsia="en-US"/>
        </w:rPr>
        <w:t>Medical laboratories — Requirements for quality and competence</w:t>
      </w:r>
      <w:r>
        <w:rPr>
          <w:rFonts w:ascii="Arial" w:eastAsiaTheme="minorHAnsi" w:hAnsi="Arial" w:cs="Arial"/>
          <w:lang w:val="en-US" w:eastAsia="en-US"/>
        </w:rPr>
        <w:t xml:space="preserve"> (</w:t>
      </w:r>
      <w:r>
        <w:rPr>
          <w:rFonts w:ascii="Arial" w:eastAsiaTheme="minorHAnsi" w:hAnsi="Arial" w:cs="Arial"/>
          <w:lang w:eastAsia="en-US"/>
        </w:rPr>
        <w:t>Медицинские</w:t>
      </w:r>
      <w:r>
        <w:rPr>
          <w:rFonts w:ascii="Arial" w:eastAsiaTheme="minorHAnsi" w:hAnsi="Arial" w:cs="Arial"/>
          <w:lang w:val="en-US" w:eastAsia="en-US"/>
        </w:rPr>
        <w:t xml:space="preserve"> </w:t>
      </w:r>
      <w:r>
        <w:rPr>
          <w:rFonts w:ascii="Arial" w:eastAsiaTheme="minorHAnsi" w:hAnsi="Arial" w:cs="Arial"/>
          <w:lang w:eastAsia="en-US"/>
        </w:rPr>
        <w:t>лаборатории</w:t>
      </w:r>
      <w:r>
        <w:rPr>
          <w:rFonts w:ascii="Arial" w:eastAsiaTheme="minorHAnsi" w:hAnsi="Arial" w:cs="Arial"/>
          <w:lang w:val="en-US" w:eastAsia="en-US"/>
        </w:rPr>
        <w:t xml:space="preserve">. </w:t>
      </w:r>
      <w:r>
        <w:rPr>
          <w:rFonts w:ascii="Arial" w:eastAsiaTheme="minorHAnsi" w:hAnsi="Arial" w:cs="Arial"/>
          <w:lang w:eastAsia="en-US"/>
        </w:rPr>
        <w:t>Требования к качеству и компетенции)</w:t>
      </w:r>
    </w:p>
    <w:p w:rsidR="000E6FD9" w:rsidRDefault="00233458" w:rsidP="00A53C26">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bidi="en-US"/>
        </w:rPr>
        <w:t>ISO</w:t>
      </w:r>
      <w:r>
        <w:rPr>
          <w:rFonts w:ascii="Arial" w:eastAsiaTheme="minorHAnsi" w:hAnsi="Arial" w:cs="Arial"/>
          <w:lang w:eastAsia="en-US"/>
        </w:rPr>
        <w:t xml:space="preserve"> 15190, Medical laboratories. Requirements for safety (Медицинские лаборатории — Требования к безопасности)</w:t>
      </w:r>
    </w:p>
    <w:p w:rsidR="000E6FD9" w:rsidRDefault="00233458" w:rsidP="00A53C26">
      <w:pPr>
        <w:suppressAutoHyphens w:val="0"/>
        <w:spacing w:before="120" w:after="120" w:line="360" w:lineRule="auto"/>
        <w:ind w:firstLine="567"/>
        <w:jc w:val="both"/>
        <w:rPr>
          <w:rFonts w:ascii="Arial" w:eastAsiaTheme="minorHAnsi" w:hAnsi="Arial" w:cs="Arial"/>
          <w:i/>
          <w:lang w:eastAsia="en-US"/>
        </w:rPr>
      </w:pPr>
      <w:r>
        <w:rPr>
          <w:rFonts w:ascii="Arial" w:eastAsiaTheme="minorHAnsi" w:hAnsi="Arial" w:cs="Arial"/>
          <w:lang w:eastAsia="en-US" w:bidi="en-US"/>
        </w:rPr>
        <w:t>ISO</w:t>
      </w:r>
      <w:r>
        <w:rPr>
          <w:rFonts w:ascii="Arial" w:eastAsiaTheme="minorHAnsi" w:hAnsi="Arial" w:cs="Arial"/>
          <w:lang w:eastAsia="en-US"/>
        </w:rPr>
        <w:t>/</w:t>
      </w:r>
      <w:r>
        <w:rPr>
          <w:rFonts w:ascii="Arial" w:eastAsiaTheme="minorHAnsi" w:hAnsi="Arial" w:cs="Arial"/>
          <w:lang w:eastAsia="en-US" w:bidi="en-US"/>
        </w:rPr>
        <w:t>IEC</w:t>
      </w:r>
      <w:r>
        <w:rPr>
          <w:rFonts w:ascii="Arial" w:eastAsiaTheme="minorHAnsi" w:hAnsi="Arial" w:cs="Arial"/>
          <w:lang w:eastAsia="en-US"/>
        </w:rPr>
        <w:t xml:space="preserve"> 17020:2012, </w:t>
      </w:r>
      <w:r>
        <w:rPr>
          <w:rFonts w:ascii="Arial" w:eastAsiaTheme="minorHAnsi" w:hAnsi="Arial" w:cs="Arial"/>
          <w:i/>
          <w:lang w:eastAsia="en-US"/>
        </w:rPr>
        <w:t>Conformity assessment. Requirements for the operation of various types of bodies performing inspection</w:t>
      </w:r>
      <w:r>
        <w:rPr>
          <w:rFonts w:ascii="Arial" w:eastAsiaTheme="minorHAnsi" w:hAnsi="Arial" w:cs="Arial"/>
          <w:lang w:eastAsia="en-US"/>
        </w:rPr>
        <w:t xml:space="preserve"> (Оценка соответствия — Требования к функционированию различных типов органов, осуществляющих инспекцию)</w:t>
      </w:r>
    </w:p>
    <w:p w:rsidR="000E6FD9" w:rsidRDefault="00233458" w:rsidP="00A53C26">
      <w:pPr>
        <w:pStyle w:val="1"/>
        <w:spacing w:before="240" w:after="240"/>
        <w:ind w:firstLine="567"/>
        <w:rPr>
          <w:color w:val="auto"/>
        </w:rPr>
      </w:pPr>
      <w:bookmarkStart w:id="8" w:name="_Toc40995882"/>
      <w:r>
        <w:rPr>
          <w:rFonts w:ascii="Arial" w:hAnsi="Arial" w:cs="Arial"/>
          <w:color w:val="auto"/>
        </w:rPr>
        <w:t>3 Термины и определения</w:t>
      </w:r>
      <w:bookmarkEnd w:id="8"/>
    </w:p>
    <w:p w:rsidR="000E6FD9" w:rsidRDefault="00233458" w:rsidP="00A53C26">
      <w:pPr>
        <w:pStyle w:val="-11"/>
        <w:shd w:val="clear" w:color="auto" w:fill="FFFFFF"/>
        <w:tabs>
          <w:tab w:val="left" w:pos="993"/>
        </w:tabs>
        <w:spacing w:line="360" w:lineRule="auto"/>
        <w:ind w:left="0" w:firstLine="567"/>
        <w:jc w:val="both"/>
        <w:rPr>
          <w:rFonts w:ascii="Arial" w:hAnsi="Arial" w:cs="Arial"/>
          <w:sz w:val="24"/>
          <w:szCs w:val="24"/>
        </w:rPr>
      </w:pPr>
      <w:r>
        <w:rPr>
          <w:rFonts w:ascii="Arial" w:hAnsi="Arial" w:cs="Arial"/>
          <w:sz w:val="24"/>
          <w:szCs w:val="24"/>
        </w:rPr>
        <w:t xml:space="preserve">В целях настоящего </w:t>
      </w:r>
      <w:r w:rsidR="006B3B41">
        <w:rPr>
          <w:rFonts w:ascii="Arial" w:hAnsi="Arial" w:cs="Arial"/>
          <w:sz w:val="24"/>
          <w:szCs w:val="24"/>
        </w:rPr>
        <w:t>стандарта</w:t>
      </w:r>
      <w:r>
        <w:rPr>
          <w:rFonts w:ascii="Arial" w:hAnsi="Arial" w:cs="Arial"/>
          <w:sz w:val="24"/>
          <w:szCs w:val="24"/>
        </w:rPr>
        <w:t xml:space="preserve"> применяются термины и определения, приведённые в </w:t>
      </w:r>
      <w:r>
        <w:rPr>
          <w:rFonts w:ascii="Arial" w:hAnsi="Arial" w:cs="Arial"/>
          <w:sz w:val="24"/>
          <w:szCs w:val="24"/>
          <w:lang w:bidi="en-US"/>
        </w:rPr>
        <w:t>ISO</w:t>
      </w:r>
      <w:r>
        <w:rPr>
          <w:rFonts w:ascii="Arial" w:hAnsi="Arial" w:cs="Arial"/>
          <w:sz w:val="24"/>
          <w:szCs w:val="24"/>
        </w:rPr>
        <w:t xml:space="preserve"> 15189.</w:t>
      </w:r>
    </w:p>
    <w:p w:rsidR="000E6FD9" w:rsidRDefault="00233458" w:rsidP="00A53C26">
      <w:pPr>
        <w:pStyle w:val="-11"/>
        <w:shd w:val="clear" w:color="auto" w:fill="FFFFFF"/>
        <w:tabs>
          <w:tab w:val="left" w:pos="993"/>
        </w:tabs>
        <w:spacing w:line="360" w:lineRule="auto"/>
        <w:ind w:left="0" w:firstLine="567"/>
        <w:jc w:val="both"/>
        <w:rPr>
          <w:rFonts w:ascii="Arial" w:hAnsi="Arial" w:cs="Arial"/>
          <w:sz w:val="24"/>
          <w:szCs w:val="24"/>
        </w:rPr>
      </w:pPr>
      <w:r>
        <w:rPr>
          <w:rFonts w:ascii="Arial" w:hAnsi="Arial" w:cs="Arial"/>
          <w:sz w:val="24"/>
          <w:szCs w:val="24"/>
          <w:lang w:bidi="en-US"/>
        </w:rPr>
        <w:t>ISO</w:t>
      </w:r>
      <w:r>
        <w:rPr>
          <w:rFonts w:ascii="Arial" w:hAnsi="Arial" w:cs="Arial"/>
          <w:sz w:val="24"/>
          <w:szCs w:val="24"/>
        </w:rPr>
        <w:t xml:space="preserve"> и </w:t>
      </w:r>
      <w:r>
        <w:rPr>
          <w:rFonts w:ascii="Arial" w:hAnsi="Arial" w:cs="Arial"/>
          <w:sz w:val="24"/>
          <w:szCs w:val="24"/>
          <w:lang w:bidi="en-US"/>
        </w:rPr>
        <w:t>IEC</w:t>
      </w:r>
      <w:r>
        <w:rPr>
          <w:rFonts w:ascii="Arial" w:hAnsi="Arial" w:cs="Arial"/>
          <w:sz w:val="24"/>
          <w:szCs w:val="24"/>
        </w:rPr>
        <w:t xml:space="preserve"> ведут терминологические базы данных для использования в стандартизации по следующим адресам:</w:t>
      </w:r>
    </w:p>
    <w:p w:rsidR="000E6FD9" w:rsidRDefault="00233458" w:rsidP="004507E3">
      <w:pPr>
        <w:pStyle w:val="-11"/>
        <w:numPr>
          <w:ilvl w:val="1"/>
          <w:numId w:val="2"/>
        </w:numPr>
        <w:shd w:val="clear" w:color="auto" w:fill="FFFFFF"/>
        <w:tabs>
          <w:tab w:val="left" w:pos="993"/>
        </w:tabs>
        <w:spacing w:line="360" w:lineRule="auto"/>
        <w:ind w:left="0" w:firstLine="567"/>
        <w:jc w:val="both"/>
        <w:rPr>
          <w:rFonts w:ascii="Arial" w:hAnsi="Arial" w:cs="Arial"/>
          <w:sz w:val="24"/>
          <w:szCs w:val="24"/>
        </w:rPr>
      </w:pPr>
      <w:r>
        <w:rPr>
          <w:rFonts w:ascii="Arial" w:hAnsi="Arial" w:cs="Arial"/>
          <w:sz w:val="24"/>
          <w:szCs w:val="24"/>
        </w:rPr>
        <w:t xml:space="preserve">Платформа онлайн-просмотра </w:t>
      </w:r>
      <w:r>
        <w:rPr>
          <w:rFonts w:ascii="Arial" w:hAnsi="Arial" w:cs="Arial"/>
          <w:sz w:val="24"/>
          <w:szCs w:val="24"/>
          <w:lang w:bidi="en-US"/>
        </w:rPr>
        <w:t>ISO</w:t>
      </w:r>
      <w:r>
        <w:rPr>
          <w:rFonts w:ascii="Arial" w:hAnsi="Arial" w:cs="Arial"/>
          <w:sz w:val="24"/>
          <w:szCs w:val="24"/>
        </w:rPr>
        <w:t xml:space="preserve">: доступна по адресу  </w:t>
      </w:r>
      <w:hyperlink r:id="rId17">
        <w:r>
          <w:rPr>
            <w:rStyle w:val="afa"/>
            <w:rFonts w:ascii="Arial" w:hAnsi="Arial" w:cs="Arial"/>
            <w:color w:val="auto"/>
            <w:sz w:val="24"/>
            <w:szCs w:val="24"/>
            <w:lang w:bidi="en-US"/>
          </w:rPr>
          <w:t>https</w:t>
        </w:r>
        <w:r>
          <w:rPr>
            <w:rStyle w:val="afa"/>
            <w:rFonts w:ascii="Arial" w:hAnsi="Arial" w:cs="Arial"/>
            <w:color w:val="auto"/>
            <w:sz w:val="24"/>
            <w:szCs w:val="24"/>
          </w:rPr>
          <w:t>://</w:t>
        </w:r>
        <w:r>
          <w:rPr>
            <w:rStyle w:val="afa"/>
            <w:rFonts w:ascii="Arial" w:hAnsi="Arial" w:cs="Arial"/>
            <w:color w:val="auto"/>
            <w:sz w:val="24"/>
            <w:szCs w:val="24"/>
            <w:lang w:bidi="en-US"/>
          </w:rPr>
          <w:t>www</w:t>
        </w:r>
        <w:r>
          <w:rPr>
            <w:rStyle w:val="afa"/>
            <w:rFonts w:ascii="Arial" w:hAnsi="Arial" w:cs="Arial"/>
            <w:color w:val="auto"/>
            <w:sz w:val="24"/>
            <w:szCs w:val="24"/>
          </w:rPr>
          <w:t>.</w:t>
        </w:r>
        <w:r>
          <w:rPr>
            <w:rStyle w:val="afa"/>
            <w:rFonts w:ascii="Arial" w:hAnsi="Arial" w:cs="Arial"/>
            <w:color w:val="auto"/>
            <w:sz w:val="24"/>
            <w:szCs w:val="24"/>
            <w:lang w:bidi="en-US"/>
          </w:rPr>
          <w:t>iso</w:t>
        </w:r>
        <w:r>
          <w:rPr>
            <w:rStyle w:val="afa"/>
            <w:rFonts w:ascii="Arial" w:hAnsi="Arial" w:cs="Arial"/>
            <w:color w:val="auto"/>
            <w:sz w:val="24"/>
            <w:szCs w:val="24"/>
          </w:rPr>
          <w:t>.</w:t>
        </w:r>
        <w:r>
          <w:rPr>
            <w:rStyle w:val="afa"/>
            <w:rFonts w:ascii="Arial" w:hAnsi="Arial" w:cs="Arial"/>
            <w:color w:val="auto"/>
            <w:sz w:val="24"/>
            <w:szCs w:val="24"/>
            <w:lang w:bidi="en-US"/>
          </w:rPr>
          <w:t>org</w:t>
        </w:r>
        <w:r>
          <w:rPr>
            <w:rStyle w:val="afa"/>
            <w:rFonts w:ascii="Arial" w:hAnsi="Arial" w:cs="Arial"/>
            <w:color w:val="auto"/>
            <w:sz w:val="24"/>
            <w:szCs w:val="24"/>
          </w:rPr>
          <w:t>/</w:t>
        </w:r>
        <w:r>
          <w:rPr>
            <w:rStyle w:val="afa"/>
            <w:rFonts w:ascii="Arial" w:hAnsi="Arial" w:cs="Arial"/>
            <w:color w:val="auto"/>
            <w:sz w:val="24"/>
            <w:szCs w:val="24"/>
            <w:lang w:bidi="en-US"/>
          </w:rPr>
          <w:t>obp</w:t>
        </w:r>
      </w:hyperlink>
    </w:p>
    <w:p w:rsidR="000E6FD9" w:rsidRDefault="00233458" w:rsidP="004507E3">
      <w:pPr>
        <w:pStyle w:val="-11"/>
        <w:numPr>
          <w:ilvl w:val="1"/>
          <w:numId w:val="2"/>
        </w:numPr>
        <w:shd w:val="clear" w:color="auto" w:fill="FFFFFF"/>
        <w:tabs>
          <w:tab w:val="left" w:pos="993"/>
        </w:tabs>
        <w:spacing w:after="0" w:line="360" w:lineRule="auto"/>
        <w:ind w:left="0" w:firstLine="567"/>
        <w:jc w:val="both"/>
        <w:rPr>
          <w:rFonts w:ascii="Arial" w:hAnsi="Arial" w:cs="Arial"/>
          <w:sz w:val="24"/>
          <w:szCs w:val="24"/>
        </w:rPr>
      </w:pPr>
      <w:r>
        <w:rPr>
          <w:rFonts w:ascii="Arial" w:hAnsi="Arial" w:cs="Arial"/>
          <w:sz w:val="24"/>
          <w:szCs w:val="24"/>
        </w:rPr>
        <w:t xml:space="preserve">Электропедия </w:t>
      </w:r>
      <w:r>
        <w:rPr>
          <w:rFonts w:ascii="Arial" w:hAnsi="Arial" w:cs="Arial"/>
          <w:sz w:val="24"/>
          <w:szCs w:val="24"/>
          <w:lang w:bidi="en-US"/>
        </w:rPr>
        <w:t>IEC</w:t>
      </w:r>
      <w:r>
        <w:rPr>
          <w:rFonts w:ascii="Arial" w:hAnsi="Arial" w:cs="Arial"/>
          <w:sz w:val="24"/>
          <w:szCs w:val="24"/>
        </w:rPr>
        <w:t xml:space="preserve">: </w:t>
      </w:r>
      <w:proofErr w:type="gramStart"/>
      <w:r>
        <w:rPr>
          <w:rFonts w:ascii="Arial" w:hAnsi="Arial" w:cs="Arial"/>
          <w:sz w:val="24"/>
          <w:szCs w:val="24"/>
        </w:rPr>
        <w:t>доступна</w:t>
      </w:r>
      <w:proofErr w:type="gramEnd"/>
      <w:r>
        <w:rPr>
          <w:rFonts w:ascii="Arial" w:hAnsi="Arial" w:cs="Arial"/>
          <w:sz w:val="24"/>
          <w:szCs w:val="24"/>
        </w:rPr>
        <w:t xml:space="preserve"> по адресу </w:t>
      </w:r>
      <w:hyperlink r:id="rId18">
        <w:r>
          <w:rPr>
            <w:rStyle w:val="afa"/>
            <w:rFonts w:ascii="Arial" w:hAnsi="Arial" w:cs="Arial"/>
            <w:color w:val="auto"/>
            <w:sz w:val="24"/>
            <w:szCs w:val="24"/>
            <w:lang w:bidi="en-US"/>
          </w:rPr>
          <w:t>http</w:t>
        </w:r>
        <w:r>
          <w:rPr>
            <w:rStyle w:val="afa"/>
            <w:rFonts w:ascii="Arial" w:hAnsi="Arial" w:cs="Arial"/>
            <w:color w:val="auto"/>
            <w:sz w:val="24"/>
            <w:szCs w:val="24"/>
          </w:rPr>
          <w:t>://</w:t>
        </w:r>
        <w:r>
          <w:rPr>
            <w:rStyle w:val="afa"/>
            <w:rFonts w:ascii="Arial" w:hAnsi="Arial" w:cs="Arial"/>
            <w:color w:val="auto"/>
            <w:sz w:val="24"/>
            <w:szCs w:val="24"/>
            <w:lang w:bidi="en-US"/>
          </w:rPr>
          <w:t>www</w:t>
        </w:r>
        <w:r>
          <w:rPr>
            <w:rStyle w:val="afa"/>
            <w:rFonts w:ascii="Arial" w:hAnsi="Arial" w:cs="Arial"/>
            <w:color w:val="auto"/>
            <w:sz w:val="24"/>
            <w:szCs w:val="24"/>
          </w:rPr>
          <w:t>.</w:t>
        </w:r>
        <w:r>
          <w:rPr>
            <w:rStyle w:val="afa"/>
            <w:rFonts w:ascii="Arial" w:hAnsi="Arial" w:cs="Arial"/>
            <w:color w:val="auto"/>
            <w:sz w:val="24"/>
            <w:szCs w:val="24"/>
            <w:lang w:bidi="en-US"/>
          </w:rPr>
          <w:t>electropedia</w:t>
        </w:r>
        <w:r>
          <w:rPr>
            <w:rStyle w:val="afa"/>
            <w:rFonts w:ascii="Arial" w:hAnsi="Arial" w:cs="Arial"/>
            <w:color w:val="auto"/>
            <w:sz w:val="24"/>
            <w:szCs w:val="24"/>
          </w:rPr>
          <w:t>.</w:t>
        </w:r>
        <w:r>
          <w:rPr>
            <w:rStyle w:val="afa"/>
            <w:rFonts w:ascii="Arial" w:hAnsi="Arial" w:cs="Arial"/>
            <w:color w:val="auto"/>
            <w:sz w:val="24"/>
            <w:szCs w:val="24"/>
            <w:lang w:bidi="en-US"/>
          </w:rPr>
          <w:t>org</w:t>
        </w:r>
        <w:r>
          <w:rPr>
            <w:rStyle w:val="afa"/>
            <w:rFonts w:ascii="Arial" w:hAnsi="Arial" w:cs="Arial"/>
            <w:color w:val="auto"/>
            <w:sz w:val="24"/>
            <w:szCs w:val="24"/>
          </w:rPr>
          <w:t>/</w:t>
        </w:r>
      </w:hyperlink>
    </w:p>
    <w:p w:rsidR="000E6FD9" w:rsidRDefault="00233458" w:rsidP="00A53C26">
      <w:pPr>
        <w:pStyle w:val="-11"/>
        <w:widowControl w:val="0"/>
        <w:shd w:val="clear" w:color="auto" w:fill="FFFFFF"/>
        <w:tabs>
          <w:tab w:val="left" w:pos="993"/>
        </w:tabs>
        <w:spacing w:after="0" w:line="360" w:lineRule="auto"/>
        <w:ind w:left="0" w:firstLine="567"/>
        <w:jc w:val="both"/>
        <w:rPr>
          <w:rFonts w:ascii="Arial" w:hAnsi="Arial" w:cs="Arial"/>
          <w:bCs/>
          <w:spacing w:val="6"/>
          <w:sz w:val="24"/>
          <w:szCs w:val="24"/>
        </w:rPr>
      </w:pPr>
      <w:r>
        <w:rPr>
          <w:rFonts w:ascii="Arial" w:hAnsi="Arial" w:cs="Arial"/>
          <w:b/>
          <w:bCs/>
          <w:spacing w:val="6"/>
          <w:sz w:val="24"/>
          <w:szCs w:val="24"/>
        </w:rPr>
        <w:t xml:space="preserve">3.1 аликвота </w:t>
      </w:r>
      <w:r>
        <w:rPr>
          <w:rFonts w:ascii="Arial" w:hAnsi="Arial" w:cs="Arial"/>
          <w:bCs/>
          <w:spacing w:val="6"/>
          <w:sz w:val="24"/>
          <w:szCs w:val="24"/>
        </w:rPr>
        <w:t>(aliquot): Часть от большего количества гомогенного материала, при взятии которого допустима незначительная погрешность выборки</w:t>
      </w:r>
    </w:p>
    <w:p w:rsidR="000E6FD9" w:rsidRDefault="00233458" w:rsidP="00A53C26">
      <w:pPr>
        <w:spacing w:before="120" w:line="360" w:lineRule="auto"/>
        <w:ind w:firstLine="567"/>
        <w:jc w:val="both"/>
        <w:rPr>
          <w:rFonts w:ascii="Arial" w:hAnsi="Arial" w:cs="Arial"/>
          <w:bCs/>
          <w:spacing w:val="6"/>
          <w:sz w:val="20"/>
          <w:szCs w:val="20"/>
        </w:rPr>
      </w:pPr>
      <w:r>
        <w:rPr>
          <w:rFonts w:ascii="Arial" w:hAnsi="Arial" w:cs="Arial"/>
          <w:bCs/>
          <w:spacing w:val="6"/>
          <w:sz w:val="20"/>
          <w:szCs w:val="20"/>
        </w:rPr>
        <w:t>Примечание 1 к данному пункту: Этот термин обычно применяется к жидкостям. Ткани гетерогенны и, как следствие, аликвота тканей не может быть взята.</w:t>
      </w:r>
    </w:p>
    <w:p w:rsidR="000E6FD9" w:rsidRDefault="00233458" w:rsidP="00A53C26">
      <w:pPr>
        <w:spacing w:before="120" w:line="360" w:lineRule="auto"/>
        <w:ind w:firstLine="567"/>
        <w:jc w:val="both"/>
        <w:rPr>
          <w:rFonts w:ascii="Arial" w:hAnsi="Arial" w:cs="Arial"/>
          <w:bCs/>
          <w:spacing w:val="6"/>
          <w:sz w:val="20"/>
          <w:szCs w:val="20"/>
        </w:rPr>
      </w:pPr>
      <w:r>
        <w:rPr>
          <w:rFonts w:ascii="Arial" w:hAnsi="Arial" w:cs="Arial"/>
          <w:bCs/>
          <w:spacing w:val="6"/>
          <w:sz w:val="20"/>
          <w:szCs w:val="20"/>
        </w:rPr>
        <w:lastRenderedPageBreak/>
        <w:t>Примечание 2 к данному пункту: Определение составлено на основе информации из источников [28], [29] и [30].</w:t>
      </w:r>
    </w:p>
    <w:p w:rsidR="000E6FD9" w:rsidRDefault="00233458" w:rsidP="00A53C26">
      <w:pPr>
        <w:spacing w:before="120" w:line="360" w:lineRule="auto"/>
        <w:ind w:firstLine="567"/>
        <w:jc w:val="both"/>
        <w:rPr>
          <w:rFonts w:ascii="Arial" w:hAnsi="Arial" w:cs="Arial"/>
          <w:bCs/>
          <w:spacing w:val="6"/>
        </w:rPr>
      </w:pPr>
      <w:r>
        <w:rPr>
          <w:rFonts w:ascii="Arial" w:hAnsi="Arial" w:cs="Arial"/>
          <w:b/>
          <w:bCs/>
          <w:spacing w:val="6"/>
        </w:rPr>
        <w:t xml:space="preserve">3.2 температура окружающей среды </w:t>
      </w:r>
      <w:r>
        <w:rPr>
          <w:rFonts w:ascii="Arial" w:hAnsi="Arial" w:cs="Arial"/>
          <w:bCs/>
          <w:spacing w:val="6"/>
        </w:rPr>
        <w:t>(ambient temperature): Нерегулируемая температура окружающего воздуха</w:t>
      </w:r>
    </w:p>
    <w:p w:rsidR="000E6FD9" w:rsidRDefault="00233458" w:rsidP="00A53C26">
      <w:pPr>
        <w:spacing w:before="120" w:line="360" w:lineRule="auto"/>
        <w:ind w:firstLine="567"/>
        <w:jc w:val="both"/>
        <w:rPr>
          <w:rFonts w:ascii="Arial" w:hAnsi="Arial" w:cs="Arial"/>
          <w:bCs/>
          <w:spacing w:val="6"/>
        </w:rPr>
      </w:pPr>
      <w:r>
        <w:rPr>
          <w:rFonts w:ascii="Arial" w:hAnsi="Arial" w:cs="Arial"/>
          <w:b/>
          <w:bCs/>
          <w:spacing w:val="6"/>
        </w:rPr>
        <w:t xml:space="preserve">3.3 аналит </w:t>
      </w:r>
      <w:r>
        <w:rPr>
          <w:rFonts w:ascii="Arial" w:hAnsi="Arial" w:cs="Arial"/>
          <w:bCs/>
          <w:spacing w:val="6"/>
        </w:rPr>
        <w:t xml:space="preserve">(analyte): Компонент, представленный в наименовании измеряемой величины </w:t>
      </w:r>
    </w:p>
    <w:p w:rsidR="000E6FD9" w:rsidRDefault="00233458" w:rsidP="00A53C26">
      <w:pPr>
        <w:spacing w:before="120" w:line="360" w:lineRule="auto"/>
        <w:ind w:firstLine="567"/>
        <w:jc w:val="both"/>
        <w:rPr>
          <w:rFonts w:ascii="Arial" w:hAnsi="Arial" w:cs="Arial"/>
          <w:bCs/>
          <w:spacing w:val="6"/>
        </w:rPr>
      </w:pPr>
      <w:r>
        <w:rPr>
          <w:rFonts w:ascii="Arial" w:hAnsi="Arial" w:cs="Arial"/>
          <w:bCs/>
          <w:spacing w:val="6"/>
        </w:rPr>
        <w:t>[ИСТОЧНИК: ИСО 17511:2003, 3.2, изменен – примечание удалено]</w:t>
      </w:r>
    </w:p>
    <w:p w:rsidR="000E6FD9" w:rsidRDefault="00233458" w:rsidP="00A53C26">
      <w:pPr>
        <w:spacing w:before="120" w:line="360" w:lineRule="auto"/>
        <w:ind w:firstLine="567"/>
        <w:jc w:val="both"/>
        <w:rPr>
          <w:rFonts w:ascii="Arial" w:hAnsi="Arial" w:cs="Arial"/>
          <w:bCs/>
          <w:spacing w:val="6"/>
        </w:rPr>
      </w:pPr>
      <w:r>
        <w:rPr>
          <w:rFonts w:ascii="Arial" w:hAnsi="Arial" w:cs="Arial"/>
          <w:b/>
          <w:bCs/>
          <w:spacing w:val="6"/>
        </w:rPr>
        <w:t xml:space="preserve">3.4 аналитические характеристики теста (методики) </w:t>
      </w:r>
      <w:r>
        <w:rPr>
          <w:rFonts w:ascii="Arial" w:hAnsi="Arial" w:cs="Arial"/>
          <w:bCs/>
          <w:spacing w:val="6"/>
        </w:rPr>
        <w:t>(analytical test performance): Точность, погрешность и чувствительность теста для измерения интересующего аналита (</w:t>
      </w:r>
      <w:r>
        <w:rPr>
          <w:rFonts w:ascii="Arial" w:hAnsi="Arial" w:cs="Arial"/>
          <w:bCs/>
          <w:spacing w:val="6"/>
          <w:u w:val="single"/>
        </w:rPr>
        <w:t>3.3</w:t>
      </w:r>
      <w:r>
        <w:rPr>
          <w:rFonts w:ascii="Arial" w:hAnsi="Arial" w:cs="Arial"/>
          <w:bCs/>
          <w:spacing w:val="6"/>
        </w:rPr>
        <w:t>)</w:t>
      </w:r>
    </w:p>
    <w:p w:rsidR="000E6FD9" w:rsidRDefault="00233458" w:rsidP="00A53C26">
      <w:pPr>
        <w:spacing w:before="120" w:line="360" w:lineRule="auto"/>
        <w:ind w:firstLine="567"/>
        <w:jc w:val="both"/>
        <w:rPr>
          <w:rFonts w:ascii="Arial" w:hAnsi="Arial" w:cs="Arial"/>
          <w:bCs/>
          <w:spacing w:val="6"/>
          <w:sz w:val="20"/>
          <w:szCs w:val="20"/>
        </w:rPr>
      </w:pPr>
      <w:r>
        <w:rPr>
          <w:rFonts w:ascii="Arial" w:hAnsi="Arial" w:cs="Arial"/>
          <w:bCs/>
          <w:spacing w:val="6"/>
          <w:sz w:val="20"/>
          <w:szCs w:val="20"/>
        </w:rPr>
        <w:t>Примечание 1 к данному пункту: Также могут применяться другие характеристики продуктивности метода исследования, такие как надежность, повторяемость.</w:t>
      </w:r>
    </w:p>
    <w:p w:rsidR="000E6FD9" w:rsidRDefault="00233458" w:rsidP="00A53C26">
      <w:pPr>
        <w:spacing w:before="120" w:after="120" w:line="360" w:lineRule="auto"/>
        <w:ind w:firstLine="567"/>
        <w:jc w:val="both"/>
        <w:rPr>
          <w:rFonts w:ascii="Arial" w:hAnsi="Arial" w:cs="Arial"/>
          <w:b/>
          <w:spacing w:val="6"/>
        </w:rPr>
      </w:pPr>
      <w:r>
        <w:rPr>
          <w:rFonts w:ascii="Arial" w:hAnsi="Arial" w:cs="Arial"/>
          <w:b/>
          <w:spacing w:val="6"/>
        </w:rPr>
        <w:t>3.5 критическое хранение</w:t>
      </w:r>
      <w:r>
        <w:rPr>
          <w:rFonts w:ascii="Arial" w:hAnsi="Arial" w:cs="Arial"/>
          <w:spacing w:val="6"/>
        </w:rPr>
        <w:t xml:space="preserve"> (cold ischemia): Состояние после удаления тканей из тела до стабилизации или фиксации</w:t>
      </w:r>
    </w:p>
    <w:p w:rsidR="000E6FD9" w:rsidRDefault="00233458" w:rsidP="00A53C26">
      <w:pPr>
        <w:spacing w:before="120" w:after="120" w:line="360" w:lineRule="auto"/>
        <w:ind w:firstLine="567"/>
        <w:jc w:val="both"/>
        <w:rPr>
          <w:rFonts w:ascii="Arial" w:hAnsi="Arial" w:cs="Arial"/>
          <w:spacing w:val="6"/>
        </w:rPr>
      </w:pPr>
      <w:r>
        <w:rPr>
          <w:rFonts w:ascii="Arial" w:hAnsi="Arial" w:cs="Arial"/>
          <w:b/>
          <w:spacing w:val="6"/>
        </w:rPr>
        <w:t xml:space="preserve">3.6 </w:t>
      </w:r>
      <w:r>
        <w:rPr>
          <w:rFonts w:ascii="Arial" w:hAnsi="Arial" w:cs="Arial"/>
          <w:b/>
          <w:bCs/>
          <w:spacing w:val="6"/>
        </w:rPr>
        <w:t>диагноз (</w:t>
      </w:r>
      <w:r>
        <w:rPr>
          <w:rFonts w:ascii="Arial" w:hAnsi="Arial" w:cs="Arial"/>
          <w:b/>
          <w:bCs/>
          <w:spacing w:val="6"/>
          <w:lang w:bidi="en-US"/>
        </w:rPr>
        <w:t>diagnosis</w:t>
      </w:r>
      <w:r>
        <w:rPr>
          <w:rFonts w:ascii="Arial" w:hAnsi="Arial" w:cs="Arial"/>
          <w:b/>
          <w:bCs/>
          <w:spacing w:val="6"/>
        </w:rPr>
        <w:t>)</w:t>
      </w:r>
      <w:r>
        <w:rPr>
          <w:rFonts w:ascii="Arial" w:hAnsi="Arial" w:cs="Arial"/>
          <w:spacing w:val="6"/>
        </w:rPr>
        <w:t>: Определение состояния здоровья или наличия заболевания по его признакам и (или) симптомам; процесс постановки диагноза может включать обследования и исследования (3.7) для отнесения состояния индивидума к отдельным и отличным друг от друга категориям или подклассам, что позволяет принимать медицинские решения касательно лечения и прогноза</w:t>
      </w:r>
    </w:p>
    <w:p w:rsidR="000E6FD9" w:rsidRDefault="00233458" w:rsidP="00A53C26">
      <w:pPr>
        <w:spacing w:before="120" w:after="120" w:line="360" w:lineRule="auto"/>
        <w:ind w:firstLine="567"/>
        <w:jc w:val="both"/>
        <w:rPr>
          <w:rFonts w:ascii="Arial" w:hAnsi="Arial" w:cs="Arial"/>
          <w:spacing w:val="6"/>
        </w:rPr>
      </w:pPr>
      <w:r>
        <w:rPr>
          <w:rFonts w:ascii="Arial" w:hAnsi="Arial" w:cs="Arial"/>
          <w:b/>
          <w:spacing w:val="6"/>
        </w:rPr>
        <w:t>3.7 исследование,</w:t>
      </w:r>
      <w:r>
        <w:rPr>
          <w:rFonts w:ascii="Arial" w:hAnsi="Arial" w:cs="Arial"/>
          <w:spacing w:val="6"/>
        </w:rPr>
        <w:t xml:space="preserve"> </w:t>
      </w:r>
      <w:r>
        <w:rPr>
          <w:rFonts w:ascii="Arial" w:hAnsi="Arial" w:cs="Arial"/>
          <w:b/>
          <w:spacing w:val="6"/>
        </w:rPr>
        <w:t>аналитический тест (анализ)</w:t>
      </w:r>
      <w:r>
        <w:rPr>
          <w:rFonts w:ascii="Arial" w:hAnsi="Arial" w:cs="Arial"/>
          <w:spacing w:val="6"/>
        </w:rPr>
        <w:t xml:space="preserve"> (examination, analytical test): Ряд операций, имеющих объектом определения значения или характеристик свойства</w:t>
      </w:r>
    </w:p>
    <w:p w:rsidR="000E6FD9" w:rsidRDefault="00233458" w:rsidP="00A53C26">
      <w:pPr>
        <w:spacing w:before="120" w:after="120" w:line="360" w:lineRule="auto"/>
        <w:ind w:firstLine="567"/>
        <w:jc w:val="both"/>
        <w:rPr>
          <w:rFonts w:ascii="Arial" w:hAnsi="Arial" w:cs="Arial"/>
          <w:spacing w:val="6"/>
          <w:sz w:val="20"/>
          <w:szCs w:val="20"/>
        </w:rPr>
      </w:pPr>
      <w:r>
        <w:rPr>
          <w:rFonts w:ascii="Arial" w:hAnsi="Arial" w:cs="Arial"/>
          <w:spacing w:val="6"/>
          <w:sz w:val="20"/>
          <w:szCs w:val="20"/>
        </w:rPr>
        <w:t>Примечание 1 к данному пункту: Процессы, которые начинаются с изолированного аналита и включают в себя все виды тестирования параметров или химические манипуляции для количественного или качественного исследования.</w:t>
      </w:r>
    </w:p>
    <w:p w:rsidR="000E6FD9" w:rsidRDefault="00233458" w:rsidP="00A53C26">
      <w:pPr>
        <w:spacing w:line="360" w:lineRule="auto"/>
        <w:ind w:firstLine="567"/>
        <w:jc w:val="both"/>
        <w:rPr>
          <w:rFonts w:ascii="Arial" w:hAnsi="Arial" w:cs="Arial"/>
          <w:b/>
          <w:spacing w:val="6"/>
        </w:rPr>
      </w:pPr>
      <w:r>
        <w:rPr>
          <w:rFonts w:ascii="Arial" w:hAnsi="Arial" w:cs="Arial"/>
          <w:b/>
          <w:spacing w:val="6"/>
        </w:rPr>
        <w:t xml:space="preserve">3.8 формалин </w:t>
      </w:r>
      <w:r>
        <w:rPr>
          <w:rFonts w:ascii="Arial" w:hAnsi="Arial" w:cs="Arial"/>
          <w:spacing w:val="6"/>
        </w:rPr>
        <w:t>(</w:t>
      </w:r>
      <w:r>
        <w:rPr>
          <w:rFonts w:ascii="Arial" w:hAnsi="Arial" w:cs="Arial"/>
          <w:spacing w:val="6"/>
          <w:lang w:bidi="en-US"/>
        </w:rPr>
        <w:t>formalin</w:t>
      </w:r>
      <w:r>
        <w:rPr>
          <w:rFonts w:ascii="Arial" w:hAnsi="Arial" w:cs="Arial"/>
          <w:spacing w:val="6"/>
        </w:rPr>
        <w:t>): Насыщенный водный раствор формальдегида, который на 100 % содержит 37% формальдегида по массе (что соответствует 40% по объёму)</w:t>
      </w:r>
    </w:p>
    <w:p w:rsidR="000E6FD9" w:rsidRDefault="00233458" w:rsidP="00A53C26">
      <w:pPr>
        <w:spacing w:before="120" w:after="120" w:line="360" w:lineRule="auto"/>
        <w:ind w:firstLine="567"/>
        <w:jc w:val="both"/>
        <w:rPr>
          <w:rFonts w:ascii="Arial" w:hAnsi="Arial" w:cs="Arial"/>
          <w:spacing w:val="6"/>
        </w:rPr>
      </w:pPr>
      <w:r>
        <w:rPr>
          <w:rFonts w:ascii="Arial" w:hAnsi="Arial" w:cs="Arial"/>
          <w:b/>
          <w:spacing w:val="6"/>
        </w:rPr>
        <w:lastRenderedPageBreak/>
        <w:t xml:space="preserve">3.9 формалиновая фиксация </w:t>
      </w:r>
      <w:r>
        <w:rPr>
          <w:rFonts w:ascii="Arial" w:hAnsi="Arial" w:cs="Arial"/>
          <w:spacing w:val="6"/>
        </w:rPr>
        <w:t>(formalin fixation): Обработка пробы стандартным забуференным раствором формалина (3.21) для стабилизации</w:t>
      </w:r>
    </w:p>
    <w:p w:rsidR="000E6FD9" w:rsidRDefault="00233458" w:rsidP="00A53C26">
      <w:pPr>
        <w:spacing w:before="120" w:after="120" w:line="360" w:lineRule="auto"/>
        <w:ind w:firstLine="567"/>
        <w:jc w:val="both"/>
        <w:rPr>
          <w:rFonts w:ascii="Arial" w:hAnsi="Arial" w:cs="Arial"/>
          <w:spacing w:val="6"/>
        </w:rPr>
      </w:pPr>
      <w:r>
        <w:rPr>
          <w:rFonts w:ascii="Arial" w:hAnsi="Arial" w:cs="Arial"/>
          <w:b/>
          <w:spacing w:val="6"/>
        </w:rPr>
        <w:t xml:space="preserve">3.10 макроскопическое исследование </w:t>
      </w:r>
      <w:r>
        <w:rPr>
          <w:rFonts w:ascii="Arial" w:hAnsi="Arial" w:cs="Arial"/>
          <w:spacing w:val="6"/>
        </w:rPr>
        <w:t>(grossing): Обследование патологий образцов невооружённым глазом для получения диагностической информации и в то же время обработка для дальнейшего микроскопического исследования</w:t>
      </w:r>
    </w:p>
    <w:p w:rsidR="000E6FD9" w:rsidRDefault="00233458" w:rsidP="00A53C26">
      <w:pPr>
        <w:spacing w:after="120" w:line="360" w:lineRule="auto"/>
        <w:ind w:firstLine="567"/>
        <w:jc w:val="both"/>
        <w:rPr>
          <w:rFonts w:ascii="Arial" w:hAnsi="Arial" w:cs="Arial"/>
          <w:b/>
          <w:spacing w:val="6"/>
        </w:rPr>
      </w:pPr>
      <w:r>
        <w:rPr>
          <w:rFonts w:ascii="Arial" w:hAnsi="Arial" w:cs="Arial"/>
          <w:b/>
          <w:spacing w:val="6"/>
        </w:rPr>
        <w:t xml:space="preserve">3.11 заключение в парафин </w:t>
      </w:r>
      <w:r>
        <w:rPr>
          <w:rFonts w:ascii="Arial" w:hAnsi="Arial" w:cs="Arial"/>
          <w:spacing w:val="6"/>
        </w:rPr>
        <w:t>(paraffin embedding): Процесс заливки в парафин образца ткани (</w:t>
      </w:r>
      <w:r>
        <w:rPr>
          <w:rFonts w:ascii="Arial" w:hAnsi="Arial" w:cs="Arial"/>
          <w:spacing w:val="6"/>
          <w:u w:val="single"/>
        </w:rPr>
        <w:t>3.19</w:t>
      </w:r>
      <w:r>
        <w:rPr>
          <w:rFonts w:ascii="Arial" w:hAnsi="Arial" w:cs="Arial"/>
          <w:spacing w:val="6"/>
        </w:rPr>
        <w:t>) для создания твёрдой окружающей матрицы таким образом, чтобы микроскопические части могли быть отделены</w:t>
      </w:r>
    </w:p>
    <w:p w:rsidR="000E6FD9" w:rsidRDefault="00233458" w:rsidP="00A53C26">
      <w:pPr>
        <w:spacing w:line="360" w:lineRule="auto"/>
        <w:ind w:firstLine="567"/>
        <w:jc w:val="both"/>
        <w:rPr>
          <w:rFonts w:ascii="Arial" w:hAnsi="Arial" w:cs="Arial"/>
          <w:b/>
          <w:spacing w:val="6"/>
        </w:rPr>
      </w:pPr>
      <w:r>
        <w:rPr>
          <w:rFonts w:ascii="Arial" w:hAnsi="Arial" w:cs="Arial"/>
          <w:b/>
          <w:spacing w:val="6"/>
        </w:rPr>
        <w:t xml:space="preserve">3.12 процесс подготовки, преаналитический этап, преаналитический рабочий процесс </w:t>
      </w:r>
      <w:r>
        <w:rPr>
          <w:rFonts w:ascii="Arial" w:hAnsi="Arial" w:cs="Arial"/>
          <w:spacing w:val="6"/>
        </w:rPr>
        <w:t>(</w:t>
      </w:r>
      <w:r>
        <w:rPr>
          <w:rFonts w:ascii="Arial" w:hAnsi="Arial" w:cs="Arial"/>
          <w:spacing w:val="6"/>
          <w:lang w:val="en-US"/>
        </w:rPr>
        <w:t>pre</w:t>
      </w:r>
      <w:r>
        <w:rPr>
          <w:rFonts w:ascii="Arial" w:hAnsi="Arial" w:cs="Arial"/>
          <w:spacing w:val="6"/>
        </w:rPr>
        <w:t>-</w:t>
      </w:r>
      <w:r>
        <w:rPr>
          <w:rFonts w:ascii="Arial" w:hAnsi="Arial" w:cs="Arial"/>
          <w:spacing w:val="6"/>
          <w:lang w:val="en-US"/>
        </w:rPr>
        <w:t>examination</w:t>
      </w:r>
      <w:r>
        <w:rPr>
          <w:rFonts w:ascii="Arial" w:hAnsi="Arial" w:cs="Arial"/>
          <w:spacing w:val="6"/>
        </w:rPr>
        <w:t xml:space="preserve"> </w:t>
      </w:r>
      <w:r>
        <w:rPr>
          <w:rFonts w:ascii="Arial" w:hAnsi="Arial" w:cs="Arial"/>
          <w:spacing w:val="6"/>
          <w:lang w:val="en-US"/>
        </w:rPr>
        <w:t>process</w:t>
      </w:r>
      <w:r>
        <w:rPr>
          <w:rFonts w:ascii="Arial" w:hAnsi="Arial" w:cs="Arial"/>
          <w:spacing w:val="6"/>
        </w:rPr>
        <w:t>,</w:t>
      </w:r>
      <w:r>
        <w:t xml:space="preserve"> </w:t>
      </w:r>
      <w:r>
        <w:rPr>
          <w:rFonts w:ascii="Arial" w:hAnsi="Arial" w:cs="Arial"/>
          <w:spacing w:val="6"/>
          <w:lang w:val="en-US"/>
        </w:rPr>
        <w:t>preanalytical</w:t>
      </w:r>
      <w:r>
        <w:rPr>
          <w:rFonts w:ascii="Arial" w:hAnsi="Arial" w:cs="Arial"/>
          <w:spacing w:val="6"/>
        </w:rPr>
        <w:t xml:space="preserve"> </w:t>
      </w:r>
      <w:r>
        <w:rPr>
          <w:rFonts w:ascii="Arial" w:hAnsi="Arial" w:cs="Arial"/>
          <w:spacing w:val="6"/>
          <w:lang w:val="en-US"/>
        </w:rPr>
        <w:t>phase</w:t>
      </w:r>
      <w:r>
        <w:rPr>
          <w:rFonts w:ascii="Arial" w:hAnsi="Arial" w:cs="Arial"/>
          <w:spacing w:val="6"/>
        </w:rPr>
        <w:t xml:space="preserve">, </w:t>
      </w:r>
      <w:r>
        <w:rPr>
          <w:rFonts w:ascii="Arial" w:hAnsi="Arial" w:cs="Arial"/>
          <w:spacing w:val="6"/>
          <w:lang w:val="en-US"/>
        </w:rPr>
        <w:t>preanalytical</w:t>
      </w:r>
      <w:r>
        <w:rPr>
          <w:rFonts w:ascii="Arial" w:hAnsi="Arial" w:cs="Arial"/>
          <w:spacing w:val="6"/>
        </w:rPr>
        <w:t xml:space="preserve"> </w:t>
      </w:r>
      <w:r>
        <w:rPr>
          <w:rFonts w:ascii="Arial" w:hAnsi="Arial" w:cs="Arial"/>
          <w:spacing w:val="6"/>
          <w:lang w:val="en-US"/>
        </w:rPr>
        <w:t>workflow</w:t>
      </w:r>
      <w:r>
        <w:rPr>
          <w:rFonts w:ascii="Arial" w:hAnsi="Arial" w:cs="Arial"/>
          <w:spacing w:val="6"/>
        </w:rPr>
        <w:t>): Процесс, который начинается в хронологическом порядке с клинического запроса, включающий в себя проверку запроса, подготовку и идентификацию пациента, сбор первичной пробы (проб), транспортировку в клиническую или морфологическую лабораторию, выделение аналита и заканчивается начиналом аналитического исследования</w:t>
      </w:r>
      <w:r>
        <w:rPr>
          <w:rFonts w:ascii="Arial" w:hAnsi="Arial" w:cs="Arial"/>
          <w:b/>
          <w:spacing w:val="6"/>
        </w:rPr>
        <w:t xml:space="preserve"> </w:t>
      </w:r>
    </w:p>
    <w:p w:rsidR="000E6FD9" w:rsidRDefault="00233458" w:rsidP="00A53C26">
      <w:pPr>
        <w:spacing w:before="120" w:after="120" w:line="360" w:lineRule="auto"/>
        <w:ind w:firstLine="567"/>
        <w:jc w:val="both"/>
        <w:rPr>
          <w:rFonts w:ascii="Arial" w:hAnsi="Arial" w:cs="Arial"/>
          <w:spacing w:val="6"/>
          <w:sz w:val="20"/>
          <w:szCs w:val="20"/>
        </w:rPr>
      </w:pPr>
      <w:r>
        <w:rPr>
          <w:rFonts w:ascii="Arial" w:hAnsi="Arial" w:cs="Arial"/>
          <w:spacing w:val="6"/>
          <w:sz w:val="20"/>
          <w:szCs w:val="20"/>
        </w:rPr>
        <w:t>Примечание 1 к данному пункту: преаналитический этап включает подготовительные процессы, влияющие на планируемое исследование</w:t>
      </w:r>
    </w:p>
    <w:p w:rsidR="000E6FD9" w:rsidRDefault="00233458" w:rsidP="00A53C26">
      <w:pPr>
        <w:spacing w:line="360" w:lineRule="auto"/>
        <w:ind w:firstLine="567"/>
        <w:jc w:val="both"/>
        <w:rPr>
          <w:rFonts w:ascii="Arial" w:hAnsi="Arial" w:cs="Arial"/>
          <w:spacing w:val="6"/>
        </w:rPr>
      </w:pPr>
      <w:r>
        <w:rPr>
          <w:rFonts w:ascii="Arial" w:hAnsi="Arial" w:cs="Arial"/>
          <w:spacing w:val="6"/>
        </w:rPr>
        <w:t>[ИСТОЧНИК: ISO 15189:2012, 3.15, изменен– «преаналитический этап» был добавлен в качестве термина, Примечание 1 к данному пункту добавлено и определение расширено.]</w:t>
      </w:r>
    </w:p>
    <w:p w:rsidR="000E6FD9" w:rsidRDefault="00233458" w:rsidP="00A53C26">
      <w:pPr>
        <w:spacing w:line="360" w:lineRule="auto"/>
        <w:ind w:firstLine="567"/>
        <w:jc w:val="both"/>
        <w:rPr>
          <w:rFonts w:ascii="Arial" w:hAnsi="Arial" w:cs="Arial"/>
          <w:spacing w:val="6"/>
        </w:rPr>
      </w:pPr>
      <w:r>
        <w:rPr>
          <w:rFonts w:ascii="Arial" w:hAnsi="Arial" w:cs="Arial"/>
          <w:b/>
          <w:spacing w:val="6"/>
        </w:rPr>
        <w:t xml:space="preserve">3.13 первичная проба, образец </w:t>
      </w:r>
      <w:r>
        <w:rPr>
          <w:rFonts w:ascii="Arial" w:hAnsi="Arial" w:cs="Arial"/>
          <w:spacing w:val="6"/>
        </w:rPr>
        <w:t>(</w:t>
      </w:r>
      <w:r>
        <w:rPr>
          <w:rFonts w:ascii="Arial" w:hAnsi="Arial" w:cs="Arial"/>
          <w:spacing w:val="6"/>
          <w:lang w:val="en-US"/>
        </w:rPr>
        <w:t>primary</w:t>
      </w:r>
      <w:r>
        <w:rPr>
          <w:rFonts w:ascii="Arial" w:hAnsi="Arial" w:cs="Arial"/>
          <w:spacing w:val="6"/>
        </w:rPr>
        <w:t xml:space="preserve"> </w:t>
      </w:r>
      <w:r>
        <w:rPr>
          <w:rFonts w:ascii="Arial" w:hAnsi="Arial" w:cs="Arial"/>
          <w:spacing w:val="6"/>
          <w:lang w:val="en-US"/>
        </w:rPr>
        <w:t>sample</w:t>
      </w:r>
      <w:r>
        <w:rPr>
          <w:rFonts w:ascii="Arial" w:hAnsi="Arial" w:cs="Arial"/>
          <w:spacing w:val="6"/>
        </w:rPr>
        <w:t xml:space="preserve">, </w:t>
      </w:r>
      <w:r>
        <w:rPr>
          <w:rFonts w:ascii="Arial" w:hAnsi="Arial" w:cs="Arial"/>
          <w:spacing w:val="6"/>
          <w:lang w:val="en-US"/>
        </w:rPr>
        <w:t>specimen</w:t>
      </w:r>
      <w:r>
        <w:rPr>
          <w:rFonts w:ascii="Arial" w:hAnsi="Arial" w:cs="Arial"/>
          <w:spacing w:val="6"/>
        </w:rPr>
        <w:t>): Дискретная порция биологической жидкости, выдыхаемого воздуха, волос или тканей, взятая для исследования (</w:t>
      </w:r>
      <w:r>
        <w:rPr>
          <w:rFonts w:ascii="Arial" w:hAnsi="Arial" w:cs="Arial"/>
          <w:spacing w:val="6"/>
          <w:u w:val="single"/>
        </w:rPr>
        <w:t>3.7</w:t>
      </w:r>
      <w:r>
        <w:rPr>
          <w:rFonts w:ascii="Arial" w:hAnsi="Arial" w:cs="Arial"/>
          <w:spacing w:val="6"/>
        </w:rPr>
        <w:t xml:space="preserve">), изучения или анализа одной или нескольких величин или свойств, которые предполагается приписать целому </w:t>
      </w:r>
    </w:p>
    <w:p w:rsidR="000E6FD9" w:rsidRDefault="00233458" w:rsidP="00A53C26">
      <w:pPr>
        <w:spacing w:line="360" w:lineRule="auto"/>
        <w:ind w:firstLine="567"/>
        <w:jc w:val="both"/>
        <w:rPr>
          <w:rFonts w:ascii="Arial" w:hAnsi="Arial" w:cs="Arial"/>
          <w:spacing w:val="6"/>
        </w:rPr>
      </w:pPr>
      <w:r>
        <w:rPr>
          <w:rFonts w:ascii="Arial" w:hAnsi="Arial" w:cs="Arial"/>
          <w:spacing w:val="6"/>
        </w:rPr>
        <w:t>[ИСТОЧНИК: ISO 15189:2012, 3.16, изменён — Примечания к пункту 1-3 удалены.]</w:t>
      </w:r>
    </w:p>
    <w:p w:rsidR="000E6FD9" w:rsidRDefault="00233458" w:rsidP="004507E3">
      <w:pPr>
        <w:spacing w:before="120" w:after="120" w:line="360" w:lineRule="auto"/>
        <w:ind w:firstLine="567"/>
        <w:jc w:val="both"/>
        <w:rPr>
          <w:rFonts w:ascii="Arial" w:hAnsi="Arial" w:cs="Arial"/>
          <w:spacing w:val="6"/>
        </w:rPr>
      </w:pPr>
      <w:r>
        <w:rPr>
          <w:rFonts w:ascii="Arial" w:hAnsi="Arial" w:cs="Arial"/>
          <w:b/>
          <w:spacing w:val="6"/>
        </w:rPr>
        <w:lastRenderedPageBreak/>
        <w:t xml:space="preserve">3.14 белок </w:t>
      </w:r>
      <w:r>
        <w:rPr>
          <w:rFonts w:ascii="Arial" w:hAnsi="Arial" w:cs="Arial"/>
          <w:spacing w:val="6"/>
        </w:rPr>
        <w:t>(</w:t>
      </w:r>
      <w:r>
        <w:rPr>
          <w:rFonts w:ascii="Arial" w:hAnsi="Arial" w:cs="Arial"/>
          <w:bCs/>
          <w:spacing w:val="6"/>
        </w:rPr>
        <w:t>protein</w:t>
      </w:r>
      <w:r>
        <w:rPr>
          <w:rFonts w:ascii="Arial" w:hAnsi="Arial" w:cs="Arial"/>
          <w:spacing w:val="6"/>
        </w:rPr>
        <w:t>): Тип биологической макромолекулы, состоящей из одной или нескольких цепей определённой последовательностью аминокислот, соединённых пептидными связями</w:t>
      </w:r>
    </w:p>
    <w:p w:rsidR="000E6FD9" w:rsidRDefault="00233458" w:rsidP="004507E3">
      <w:pPr>
        <w:spacing w:before="120" w:after="120" w:line="360" w:lineRule="auto"/>
        <w:ind w:firstLine="567"/>
        <w:jc w:val="both"/>
        <w:rPr>
          <w:rFonts w:ascii="Arial" w:hAnsi="Arial" w:cs="Arial"/>
          <w:spacing w:val="6"/>
        </w:rPr>
      </w:pPr>
      <w:r>
        <w:rPr>
          <w:rFonts w:ascii="Arial" w:hAnsi="Arial" w:cs="Arial"/>
          <w:b/>
          <w:spacing w:val="6"/>
        </w:rPr>
        <w:t>3.15 профиль белка</w:t>
      </w:r>
      <w:r>
        <w:rPr>
          <w:rFonts w:ascii="Arial" w:hAnsi="Arial" w:cs="Arial"/>
          <w:spacing w:val="6"/>
        </w:rPr>
        <w:t xml:space="preserve"> (protein profile): Количество отдельных молекул белка (</w:t>
      </w:r>
      <w:r>
        <w:rPr>
          <w:rFonts w:ascii="Arial" w:hAnsi="Arial" w:cs="Arial"/>
          <w:spacing w:val="6"/>
          <w:u w:val="single"/>
        </w:rPr>
        <w:t>3.14</w:t>
      </w:r>
      <w:r>
        <w:rPr>
          <w:rFonts w:ascii="Arial" w:hAnsi="Arial" w:cs="Arial"/>
          <w:spacing w:val="6"/>
        </w:rPr>
        <w:t>), которые присутствуют в пробе и которые могут быть измерены при отсутствии каких-либо потерь, ингибирования и вмешательства</w:t>
      </w:r>
    </w:p>
    <w:p w:rsidR="000E6FD9" w:rsidRDefault="00233458" w:rsidP="004507E3">
      <w:pPr>
        <w:spacing w:before="120" w:after="120" w:line="360" w:lineRule="auto"/>
        <w:ind w:firstLine="567"/>
        <w:jc w:val="both"/>
        <w:rPr>
          <w:rFonts w:ascii="Arial" w:hAnsi="Arial" w:cs="Arial"/>
          <w:spacing w:val="6"/>
        </w:rPr>
      </w:pPr>
      <w:r>
        <w:rPr>
          <w:rFonts w:ascii="Arial" w:hAnsi="Arial" w:cs="Arial"/>
          <w:b/>
          <w:spacing w:val="6"/>
        </w:rPr>
        <w:t xml:space="preserve">3.16 виды белков </w:t>
      </w:r>
      <w:r>
        <w:rPr>
          <w:rFonts w:ascii="Arial" w:hAnsi="Arial" w:cs="Arial"/>
          <w:spacing w:val="6"/>
        </w:rPr>
        <w:t xml:space="preserve">(protein species): количество химически чётко определённого белка, соответствующего одному участку образца на высокоэффективном двухмерном геле для электрофореза </w:t>
      </w:r>
    </w:p>
    <w:p w:rsidR="000E6FD9" w:rsidRDefault="00233458" w:rsidP="004507E3">
      <w:pPr>
        <w:spacing w:before="120" w:after="120" w:line="360" w:lineRule="auto"/>
        <w:ind w:firstLine="567"/>
        <w:jc w:val="both"/>
        <w:rPr>
          <w:rFonts w:ascii="Arial" w:hAnsi="Arial" w:cs="Arial"/>
          <w:spacing w:val="6"/>
          <w:sz w:val="20"/>
          <w:szCs w:val="20"/>
        </w:rPr>
      </w:pPr>
      <w:r>
        <w:rPr>
          <w:rFonts w:ascii="Arial" w:hAnsi="Arial" w:cs="Arial"/>
          <w:spacing w:val="6"/>
          <w:sz w:val="20"/>
          <w:szCs w:val="20"/>
        </w:rPr>
        <w:t>Примечание 1 к записи: Определение взято из ссылки [7].</w:t>
      </w:r>
    </w:p>
    <w:p w:rsidR="000E6FD9" w:rsidRDefault="00233458" w:rsidP="004507E3">
      <w:pPr>
        <w:spacing w:before="120" w:after="120" w:line="360" w:lineRule="auto"/>
        <w:ind w:firstLine="567"/>
        <w:jc w:val="both"/>
        <w:rPr>
          <w:rFonts w:ascii="Arial" w:hAnsi="Arial" w:cs="Arial"/>
          <w:spacing w:val="6"/>
        </w:rPr>
      </w:pPr>
      <w:r>
        <w:rPr>
          <w:rFonts w:ascii="Arial" w:hAnsi="Arial" w:cs="Arial"/>
          <w:b/>
          <w:spacing w:val="6"/>
        </w:rPr>
        <w:t xml:space="preserve">3.17 Посттрансляционная модификация </w:t>
      </w:r>
      <w:r>
        <w:rPr>
          <w:rFonts w:ascii="Arial" w:hAnsi="Arial" w:cs="Arial"/>
          <w:spacing w:val="6"/>
        </w:rPr>
        <w:t>(post-translational modification): Химические изменения структуры первичного белка, часто имеющие решающее значение для придания белку биологической активности</w:t>
      </w:r>
    </w:p>
    <w:p w:rsidR="000E6FD9" w:rsidRDefault="00233458" w:rsidP="004507E3">
      <w:pPr>
        <w:spacing w:before="120" w:after="120" w:line="360" w:lineRule="auto"/>
        <w:ind w:firstLine="567"/>
        <w:jc w:val="both"/>
        <w:rPr>
          <w:rFonts w:ascii="Arial" w:hAnsi="Arial" w:cs="Arial"/>
          <w:spacing w:val="6"/>
          <w:sz w:val="20"/>
          <w:szCs w:val="20"/>
        </w:rPr>
      </w:pPr>
      <w:r>
        <w:rPr>
          <w:rFonts w:ascii="Arial" w:hAnsi="Arial" w:cs="Arial"/>
          <w:spacing w:val="6"/>
          <w:sz w:val="20"/>
          <w:szCs w:val="20"/>
        </w:rPr>
        <w:t>Примечание 1 к записи: определение взято из ссылки [8]</w:t>
      </w:r>
    </w:p>
    <w:p w:rsidR="000E6FD9" w:rsidRDefault="00233458" w:rsidP="004507E3">
      <w:pPr>
        <w:spacing w:before="120" w:after="120" w:line="360" w:lineRule="auto"/>
        <w:ind w:firstLine="567"/>
        <w:jc w:val="both"/>
        <w:rPr>
          <w:rFonts w:ascii="Arial" w:hAnsi="Arial" w:cs="Arial"/>
          <w:spacing w:val="6"/>
        </w:rPr>
      </w:pPr>
      <w:r>
        <w:rPr>
          <w:rFonts w:ascii="Arial" w:hAnsi="Arial" w:cs="Arial"/>
          <w:b/>
          <w:spacing w:val="6"/>
        </w:rPr>
        <w:t>3.18 комнатная температура</w:t>
      </w:r>
      <w:r>
        <w:rPr>
          <w:rFonts w:ascii="Arial" w:hAnsi="Arial" w:cs="Arial"/>
          <w:spacing w:val="6"/>
        </w:rPr>
        <w:t xml:space="preserve"> (room temperature): Для целей настоящего </w:t>
      </w:r>
      <w:r w:rsidR="006B3B41">
        <w:rPr>
          <w:rFonts w:ascii="Arial" w:hAnsi="Arial" w:cs="Arial"/>
          <w:spacing w:val="6"/>
        </w:rPr>
        <w:t>стандарта</w:t>
      </w:r>
      <w:r>
        <w:rPr>
          <w:rFonts w:ascii="Arial" w:hAnsi="Arial" w:cs="Arial"/>
          <w:spacing w:val="6"/>
        </w:rPr>
        <w:t>, температура в пределах от 18 °С до 25 °С</w:t>
      </w:r>
    </w:p>
    <w:p w:rsidR="000E6FD9" w:rsidRDefault="00233458" w:rsidP="004507E3">
      <w:pPr>
        <w:spacing w:before="120" w:after="120" w:line="360" w:lineRule="auto"/>
        <w:ind w:firstLine="567"/>
        <w:jc w:val="both"/>
        <w:rPr>
          <w:rFonts w:ascii="Arial" w:hAnsi="Arial" w:cs="Arial"/>
          <w:sz w:val="20"/>
          <w:szCs w:val="20"/>
        </w:rPr>
      </w:pPr>
      <w:r>
        <w:rPr>
          <w:rFonts w:ascii="Arial" w:hAnsi="Arial" w:cs="Arial"/>
          <w:spacing w:val="6"/>
          <w:sz w:val="20"/>
          <w:szCs w:val="20"/>
        </w:rPr>
        <w:t>Примечание 1 к данному пункту: локальные или национальные нормативы могут иметь различные определения.</w:t>
      </w:r>
    </w:p>
    <w:p w:rsidR="000E6FD9" w:rsidRDefault="00233458" w:rsidP="004507E3">
      <w:pPr>
        <w:spacing w:before="120" w:after="120" w:line="360" w:lineRule="auto"/>
        <w:ind w:firstLine="567"/>
        <w:jc w:val="both"/>
        <w:rPr>
          <w:rFonts w:ascii="Arial" w:hAnsi="Arial" w:cs="Arial"/>
        </w:rPr>
      </w:pPr>
      <w:r>
        <w:rPr>
          <w:rFonts w:ascii="Arial" w:hAnsi="Arial" w:cs="Arial"/>
          <w:b/>
        </w:rPr>
        <w:t>3.19 проба</w:t>
      </w:r>
      <w:r>
        <w:rPr>
          <w:rFonts w:ascii="Arial" w:hAnsi="Arial" w:cs="Arial"/>
        </w:rPr>
        <w:t xml:space="preserve"> (sample)</w:t>
      </w:r>
      <w:r>
        <w:rPr>
          <w:rFonts w:ascii="Arial" w:hAnsi="Arial" w:cs="Arial"/>
          <w:b/>
        </w:rPr>
        <w:t xml:space="preserve">: </w:t>
      </w:r>
      <w:r>
        <w:rPr>
          <w:rFonts w:ascii="Arial" w:hAnsi="Arial" w:cs="Arial"/>
        </w:rPr>
        <w:t>Одна или несколько частей, которые взяты из первичной пробы (</w:t>
      </w:r>
      <w:r>
        <w:rPr>
          <w:rFonts w:ascii="Arial" w:hAnsi="Arial" w:cs="Arial"/>
          <w:u w:val="single"/>
        </w:rPr>
        <w:t>3.13</w:t>
      </w:r>
      <w:r>
        <w:rPr>
          <w:rFonts w:ascii="Arial" w:hAnsi="Arial" w:cs="Arial"/>
        </w:rPr>
        <w:t>)</w:t>
      </w:r>
    </w:p>
    <w:p w:rsidR="000E6FD9" w:rsidRDefault="00233458" w:rsidP="004507E3">
      <w:pPr>
        <w:spacing w:before="120" w:after="120" w:line="360" w:lineRule="auto"/>
        <w:ind w:firstLine="567"/>
        <w:jc w:val="both"/>
        <w:rPr>
          <w:rFonts w:ascii="Arial" w:hAnsi="Arial" w:cs="Arial"/>
        </w:rPr>
      </w:pPr>
      <w:r>
        <w:rPr>
          <w:rFonts w:ascii="Arial" w:hAnsi="Arial" w:cs="Arial"/>
        </w:rPr>
        <w:t>[ИСТОЧНИК: ИСО 15189:2012, 3.24, изменён — ПРИМЕР удалён.]</w:t>
      </w:r>
    </w:p>
    <w:p w:rsidR="000E6FD9" w:rsidRDefault="00233458" w:rsidP="004507E3">
      <w:pPr>
        <w:spacing w:before="120" w:after="120" w:line="360" w:lineRule="auto"/>
        <w:ind w:firstLine="567"/>
        <w:jc w:val="both"/>
        <w:rPr>
          <w:rFonts w:ascii="Arial" w:hAnsi="Arial" w:cs="Arial"/>
        </w:rPr>
      </w:pPr>
      <w:r>
        <w:rPr>
          <w:rFonts w:ascii="Arial" w:hAnsi="Arial" w:cs="Arial"/>
          <w:b/>
        </w:rPr>
        <w:t xml:space="preserve">3.20 стабильность </w:t>
      </w:r>
      <w:r>
        <w:rPr>
          <w:rFonts w:ascii="Arial" w:hAnsi="Arial" w:cs="Arial"/>
        </w:rPr>
        <w:t>(stability): Характеристика материала пробы, описывающая его способность сохранять определённые значения свойства в определённых пределах в течение определённого периода времени при хранении в определённых условиях</w:t>
      </w:r>
    </w:p>
    <w:p w:rsidR="000E6FD9" w:rsidRDefault="00233458" w:rsidP="004507E3">
      <w:pPr>
        <w:spacing w:before="120" w:after="120" w:line="360" w:lineRule="auto"/>
        <w:ind w:firstLine="567"/>
        <w:jc w:val="both"/>
        <w:rPr>
          <w:rFonts w:ascii="Arial" w:hAnsi="Arial" w:cs="Arial"/>
          <w:sz w:val="20"/>
          <w:szCs w:val="20"/>
        </w:rPr>
      </w:pPr>
      <w:r>
        <w:rPr>
          <w:rFonts w:ascii="Arial" w:hAnsi="Arial" w:cs="Arial"/>
          <w:sz w:val="20"/>
          <w:szCs w:val="20"/>
        </w:rPr>
        <w:t xml:space="preserve">Примечание 1 к данному пункту: Для процессов, описанных в </w:t>
      </w:r>
      <w:r w:rsidR="006B3B41">
        <w:rPr>
          <w:rFonts w:ascii="Arial" w:hAnsi="Arial" w:cs="Arial"/>
          <w:sz w:val="20"/>
          <w:szCs w:val="20"/>
        </w:rPr>
        <w:t>настоящем стандарте</w:t>
      </w:r>
      <w:r>
        <w:rPr>
          <w:rFonts w:ascii="Arial" w:hAnsi="Arial" w:cs="Arial"/>
          <w:sz w:val="20"/>
          <w:szCs w:val="20"/>
        </w:rPr>
        <w:t xml:space="preserve">, </w:t>
      </w:r>
      <w:proofErr w:type="spellStart"/>
      <w:r>
        <w:rPr>
          <w:rFonts w:ascii="Arial" w:hAnsi="Arial" w:cs="Arial"/>
          <w:sz w:val="20"/>
          <w:szCs w:val="20"/>
        </w:rPr>
        <w:t>аналитом</w:t>
      </w:r>
      <w:proofErr w:type="spellEnd"/>
      <w:r>
        <w:rPr>
          <w:rFonts w:ascii="Arial" w:hAnsi="Arial" w:cs="Arial"/>
          <w:sz w:val="20"/>
          <w:szCs w:val="20"/>
        </w:rPr>
        <w:t xml:space="preserve"> является выделенный белок.</w:t>
      </w:r>
    </w:p>
    <w:p w:rsidR="000E6FD9" w:rsidRDefault="00233458" w:rsidP="004507E3">
      <w:pPr>
        <w:spacing w:before="120" w:after="120" w:line="360" w:lineRule="auto"/>
        <w:ind w:firstLine="567"/>
        <w:jc w:val="both"/>
        <w:rPr>
          <w:rFonts w:ascii="Arial" w:hAnsi="Arial" w:cs="Arial"/>
        </w:rPr>
      </w:pPr>
      <w:r>
        <w:rPr>
          <w:rFonts w:ascii="Arial" w:hAnsi="Arial" w:cs="Arial"/>
        </w:rPr>
        <w:lastRenderedPageBreak/>
        <w:t xml:space="preserve">[ИСТОЧНИК: </w:t>
      </w:r>
      <w:r>
        <w:rPr>
          <w:rFonts w:ascii="Arial" w:hAnsi="Arial" w:cs="Arial"/>
          <w:lang w:val="en-US"/>
        </w:rPr>
        <w:t>ISO</w:t>
      </w:r>
      <w:r>
        <w:rPr>
          <w:rFonts w:ascii="Arial" w:hAnsi="Arial" w:cs="Arial"/>
        </w:rPr>
        <w:t xml:space="preserve"> Guide 30:2015, 2.1.15, изменён — “стандартный образец” заменён на “материал пробы”, “характеристика” заменена на “характеристика, описывающая возможность”, также изменено Примечание 1 к данному пункту.]</w:t>
      </w:r>
    </w:p>
    <w:p w:rsidR="000E6FD9" w:rsidRDefault="00233458" w:rsidP="004507E3">
      <w:pPr>
        <w:spacing w:before="120" w:after="120" w:line="360" w:lineRule="auto"/>
        <w:ind w:firstLine="567"/>
        <w:jc w:val="both"/>
        <w:rPr>
          <w:rFonts w:ascii="Arial" w:hAnsi="Arial" w:cs="Arial"/>
        </w:rPr>
      </w:pPr>
      <w:r>
        <w:rPr>
          <w:rFonts w:ascii="Arial" w:hAnsi="Arial" w:cs="Arial"/>
          <w:b/>
        </w:rPr>
        <w:t>3.25</w:t>
      </w:r>
      <w:r>
        <w:rPr>
          <w:rFonts w:ascii="Arial" w:hAnsi="Arial" w:cs="Arial"/>
        </w:rPr>
        <w:t xml:space="preserve"> </w:t>
      </w:r>
      <w:r>
        <w:rPr>
          <w:rFonts w:ascii="Arial" w:hAnsi="Arial" w:cs="Arial"/>
          <w:b/>
        </w:rPr>
        <w:t>стандартный забуференный раствор формалина, нейтральный буферный формалин, НБФ</w:t>
      </w:r>
      <w:r>
        <w:rPr>
          <w:rFonts w:ascii="Arial" w:hAnsi="Arial" w:cs="Arial"/>
        </w:rPr>
        <w:t xml:space="preserve"> (standard buffered formalin solution, neutral buffered formalin, NBF): 10% формалин (</w:t>
      </w:r>
      <w:r>
        <w:rPr>
          <w:rFonts w:ascii="Arial" w:hAnsi="Arial" w:cs="Arial"/>
          <w:u w:val="single"/>
        </w:rPr>
        <w:t>3.8</w:t>
      </w:r>
      <w:r>
        <w:rPr>
          <w:rFonts w:ascii="Arial" w:hAnsi="Arial" w:cs="Arial"/>
        </w:rPr>
        <w:t>) в воде с массовой долей 3,7% (соответствующей объёмной доле 4%) формальдегид, буферизированный до рН 6,8- рН 7,2</w:t>
      </w:r>
    </w:p>
    <w:p w:rsidR="000E6FD9" w:rsidRDefault="00233458" w:rsidP="004507E3">
      <w:pPr>
        <w:spacing w:before="120" w:after="120" w:line="360" w:lineRule="auto"/>
        <w:ind w:firstLine="567"/>
        <w:jc w:val="both"/>
        <w:rPr>
          <w:rFonts w:ascii="Arial" w:hAnsi="Arial" w:cs="Arial"/>
          <w:b/>
          <w:sz w:val="20"/>
          <w:szCs w:val="20"/>
        </w:rPr>
      </w:pPr>
      <w:r>
        <w:rPr>
          <w:rFonts w:ascii="Arial" w:hAnsi="Arial" w:cs="Arial"/>
          <w:sz w:val="20"/>
          <w:szCs w:val="20"/>
        </w:rPr>
        <w:t>Примечание 1 к данному пункту: стандартные буферные растворы формалина часто содержат небольшое количество метанола для замедления окисленния и полимеризации формальдегида.</w:t>
      </w:r>
    </w:p>
    <w:p w:rsidR="000E6FD9" w:rsidRDefault="00233458" w:rsidP="004507E3">
      <w:pPr>
        <w:spacing w:before="120" w:after="120" w:line="360" w:lineRule="auto"/>
        <w:ind w:firstLine="567"/>
        <w:jc w:val="both"/>
        <w:rPr>
          <w:rFonts w:ascii="Arial" w:hAnsi="Arial" w:cs="Arial"/>
        </w:rPr>
      </w:pPr>
      <w:r>
        <w:rPr>
          <w:rFonts w:ascii="Arial" w:hAnsi="Arial" w:cs="Arial"/>
          <w:b/>
        </w:rPr>
        <w:t>3.22 хранение</w:t>
      </w:r>
      <w:r>
        <w:rPr>
          <w:rFonts w:ascii="Arial" w:hAnsi="Arial" w:cs="Arial"/>
        </w:rPr>
        <w:t xml:space="preserve"> (storage): Длительное прерывание преданалитического рабочего процесса (</w:t>
      </w:r>
      <w:r>
        <w:rPr>
          <w:rFonts w:ascii="Arial" w:hAnsi="Arial" w:cs="Arial"/>
          <w:u w:val="single"/>
        </w:rPr>
        <w:t>3.12</w:t>
      </w:r>
      <w:r>
        <w:rPr>
          <w:rFonts w:ascii="Arial" w:hAnsi="Arial" w:cs="Arial"/>
        </w:rPr>
        <w:t>) образца или аналита соответственно, или их производных, таких как окрашенные участки или тканевые блоки, при соответствующих условиях для сохранения их свойств</w:t>
      </w:r>
    </w:p>
    <w:p w:rsidR="000E6FD9" w:rsidRDefault="00233458" w:rsidP="004507E3">
      <w:pPr>
        <w:spacing w:before="120" w:after="120" w:line="360" w:lineRule="auto"/>
        <w:ind w:firstLine="567"/>
        <w:jc w:val="both"/>
        <w:rPr>
          <w:rFonts w:ascii="Arial" w:hAnsi="Arial" w:cs="Arial"/>
        </w:rPr>
      </w:pPr>
      <w:r>
        <w:rPr>
          <w:rFonts w:ascii="Arial" w:hAnsi="Arial" w:cs="Arial"/>
          <w:sz w:val="20"/>
          <w:szCs w:val="20"/>
        </w:rPr>
        <w:t>Примечание 1 к данному пункту: Долгосрочное хранение обычно осуществляется в лабораторных хранилищах или в биобанках</w:t>
      </w:r>
      <w:r>
        <w:rPr>
          <w:rFonts w:ascii="Arial" w:hAnsi="Arial" w:cs="Arial"/>
        </w:rPr>
        <w:t>.</w:t>
      </w:r>
    </w:p>
    <w:p w:rsidR="000E6FD9" w:rsidRDefault="00233458" w:rsidP="004507E3">
      <w:pPr>
        <w:spacing w:before="120" w:after="120" w:line="360" w:lineRule="auto"/>
        <w:ind w:firstLine="567"/>
        <w:jc w:val="both"/>
        <w:rPr>
          <w:rFonts w:ascii="Arial" w:hAnsi="Arial" w:cs="Arial"/>
          <w:b/>
        </w:rPr>
      </w:pPr>
      <w:r>
        <w:rPr>
          <w:rFonts w:ascii="Arial" w:hAnsi="Arial" w:cs="Arial"/>
          <w:b/>
        </w:rPr>
        <w:t>3.23</w:t>
      </w:r>
      <w:r>
        <w:rPr>
          <w:rFonts w:ascii="Arial" w:hAnsi="Arial" w:cs="Arial"/>
        </w:rPr>
        <w:t xml:space="preserve"> </w:t>
      </w:r>
      <w:r>
        <w:rPr>
          <w:rFonts w:ascii="Arial" w:hAnsi="Arial" w:cs="Arial"/>
          <w:b/>
        </w:rPr>
        <w:t>обработчик тканей</w:t>
      </w:r>
      <w:r>
        <w:rPr>
          <w:rFonts w:ascii="Arial" w:hAnsi="Arial" w:cs="Arial"/>
        </w:rPr>
        <w:t xml:space="preserve"> (tissue processor): Автоматизированный инструмент для обработки тканей, в котором происходит их фиксация, дегидрирование, чистка и парафиновое внедрение</w:t>
      </w:r>
    </w:p>
    <w:p w:rsidR="000E6FD9" w:rsidRDefault="00233458" w:rsidP="004507E3">
      <w:pPr>
        <w:spacing w:before="120" w:after="120" w:line="360" w:lineRule="auto"/>
        <w:ind w:firstLine="567"/>
        <w:jc w:val="both"/>
        <w:rPr>
          <w:rFonts w:ascii="Arial" w:hAnsi="Arial" w:cs="Arial"/>
          <w:b/>
        </w:rPr>
      </w:pPr>
      <w:r>
        <w:rPr>
          <w:rFonts w:ascii="Arial" w:hAnsi="Arial" w:cs="Arial"/>
          <w:b/>
        </w:rPr>
        <w:t>3.24 валидация</w:t>
      </w:r>
      <w:r>
        <w:rPr>
          <w:rFonts w:ascii="Arial" w:hAnsi="Arial" w:cs="Arial"/>
        </w:rPr>
        <w:t xml:space="preserve"> (validation)</w:t>
      </w:r>
      <w:r>
        <w:rPr>
          <w:rFonts w:ascii="Arial" w:hAnsi="Arial" w:cs="Arial"/>
          <w:b/>
        </w:rPr>
        <w:t xml:space="preserve">: </w:t>
      </w:r>
      <w:r>
        <w:rPr>
          <w:rFonts w:ascii="Arial" w:hAnsi="Arial" w:cs="Arial"/>
        </w:rPr>
        <w:t>Подтверждение, посредством представления объективных свидетельств, того, что требования, предназначенные для конкретного использования или применения, выполнены</w:t>
      </w:r>
    </w:p>
    <w:p w:rsidR="000E6FD9" w:rsidRDefault="00233458" w:rsidP="004507E3">
      <w:pPr>
        <w:spacing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Примечание 1 к данному пункту: Термин “валидирован” используется для обозначения соответствующего статуса.</w:t>
      </w:r>
    </w:p>
    <w:p w:rsidR="000E6FD9" w:rsidRDefault="00233458" w:rsidP="004507E3">
      <w:pPr>
        <w:spacing w:before="120" w:after="120" w:line="360" w:lineRule="auto"/>
        <w:ind w:firstLine="567"/>
        <w:jc w:val="both"/>
        <w:rPr>
          <w:rFonts w:ascii="Arial" w:hAnsi="Arial" w:cs="Arial"/>
        </w:rPr>
      </w:pPr>
      <w:r>
        <w:rPr>
          <w:rFonts w:ascii="Arial" w:hAnsi="Arial" w:cs="Arial"/>
        </w:rPr>
        <w:t>[ИСТОЧНИК: ИСО 9000:2015, 3.8.13, изменён — Примечания к пункту 1 и 3 удалены.]</w:t>
      </w:r>
    </w:p>
    <w:p w:rsidR="000E6FD9" w:rsidRDefault="00233458" w:rsidP="004507E3">
      <w:pPr>
        <w:spacing w:before="120" w:after="120" w:line="360" w:lineRule="auto"/>
        <w:ind w:firstLine="567"/>
        <w:jc w:val="both"/>
        <w:rPr>
          <w:rFonts w:ascii="Arial" w:hAnsi="Arial" w:cs="Arial"/>
        </w:rPr>
      </w:pPr>
      <w:r>
        <w:rPr>
          <w:rFonts w:ascii="Arial" w:hAnsi="Arial" w:cs="Arial"/>
          <w:b/>
        </w:rPr>
        <w:t>3.25 некритическое хранение</w:t>
      </w:r>
      <w:r>
        <w:rPr>
          <w:rFonts w:ascii="Arial" w:hAnsi="Arial" w:cs="Arial"/>
        </w:rPr>
        <w:t xml:space="preserve"> (warm ischemia): Состояние ткани до её удаления из организма, но лишённая своего нормального кровоснабжения</w:t>
      </w:r>
    </w:p>
    <w:p w:rsidR="000E6FD9" w:rsidRDefault="00233458" w:rsidP="004507E3">
      <w:pPr>
        <w:spacing w:before="120" w:after="120" w:line="360" w:lineRule="auto"/>
        <w:ind w:firstLine="567"/>
        <w:jc w:val="both"/>
        <w:rPr>
          <w:rFonts w:ascii="Arial" w:hAnsi="Arial" w:cs="Arial"/>
        </w:rPr>
      </w:pPr>
      <w:r>
        <w:rPr>
          <w:rFonts w:ascii="Arial" w:hAnsi="Arial" w:cs="Arial"/>
          <w:b/>
        </w:rPr>
        <w:lastRenderedPageBreak/>
        <w:t>3.26 рабочий процесс</w:t>
      </w:r>
      <w:r>
        <w:rPr>
          <w:rFonts w:ascii="Arial" w:hAnsi="Arial" w:cs="Arial"/>
        </w:rPr>
        <w:t xml:space="preserve"> (workflow): Ряд мероприятий, необходимых для выполнения задачи</w:t>
      </w:r>
    </w:p>
    <w:p w:rsidR="000E6FD9" w:rsidRDefault="00233458" w:rsidP="004507E3">
      <w:pPr>
        <w:spacing w:before="120" w:after="120" w:line="360" w:lineRule="auto"/>
        <w:ind w:firstLine="567"/>
        <w:jc w:val="both"/>
        <w:rPr>
          <w:rFonts w:ascii="Arial" w:hAnsi="Arial" w:cs="Arial"/>
          <w:b/>
        </w:rPr>
      </w:pPr>
      <w:r>
        <w:rPr>
          <w:rFonts w:ascii="Arial" w:hAnsi="Arial" w:cs="Arial"/>
          <w:b/>
        </w:rPr>
        <w:t xml:space="preserve">3.27 гомогенный </w:t>
      </w:r>
      <w:r>
        <w:rPr>
          <w:rFonts w:ascii="Arial" w:hAnsi="Arial" w:cs="Arial"/>
        </w:rPr>
        <w:t>(homogeneous): Однородный по структуре и составу</w:t>
      </w:r>
    </w:p>
    <w:p w:rsidR="000E6FD9" w:rsidRDefault="00233458" w:rsidP="004507E3">
      <w:pPr>
        <w:pStyle w:val="1"/>
        <w:spacing w:before="240" w:after="240" w:line="360" w:lineRule="auto"/>
        <w:ind w:firstLine="567"/>
        <w:jc w:val="both"/>
        <w:rPr>
          <w:rFonts w:ascii="Arial" w:hAnsi="Arial" w:cs="Arial"/>
          <w:color w:val="auto"/>
        </w:rPr>
      </w:pPr>
      <w:bookmarkStart w:id="9" w:name="_Toc40995883"/>
      <w:r>
        <w:rPr>
          <w:rFonts w:ascii="Arial" w:hAnsi="Arial" w:cs="Arial"/>
          <w:color w:val="auto"/>
        </w:rPr>
        <w:t>4 Общие аспекты</w:t>
      </w:r>
      <w:bookmarkEnd w:id="9"/>
    </w:p>
    <w:p w:rsidR="000E6FD9" w:rsidRDefault="00233458" w:rsidP="004507E3">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Общие сведения о системах менеджмента качества медицинских лабораторий и, в частности, о сборе, приеме и обработки образцов (включая предотвращение перекрёстного заражения) смотрите в стандарте ISO 15189:2012, 4.2, 5.4.4, 5.4.6 или ISO/IEC 17020:2012, Пункты 8 и 7.2. Должны соблюдаться требования к лабораторному оборудованию, реагентам и исходным материалам в соответствии с ISO 15189:2012, 5.3; ISO 15189:2012, 5.5.1.2 и 5.5.1.3, а также ISO/IEC 17020:2012, 6.2.</w:t>
      </w:r>
    </w:p>
    <w:p w:rsidR="000E6FD9" w:rsidRDefault="00233458" w:rsidP="004507E3">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 xml:space="preserve">Все этапы диагностического рабочего процесса могут влиять на конечный результат аналитического теста. Таким образом, весь рабочий процесс, включая стабильность биомолекул и условия хранения проб, должен быть проверен и валидирован. Этапы рабочего процесса, которые не всегда поддаются контролю (например, некритическое хранение), должны быть задокументированы. Должна быть проведена оценка риска неконтролируемых этапов, включая их потенциальное влияние на результаты аналитических испытаний, и приняты меры по предотвращению последствий для обеспечения требуемых результатов аналитических тестов. </w:t>
      </w:r>
    </w:p>
    <w:p w:rsidR="000E6FD9" w:rsidRDefault="00233458" w:rsidP="004507E3">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Стабильно конкретного белка(ов), представляющего интерес, и их посттрансляционные модификации (если они важны для анализа) должны быть исследованы на протяжении всего процесса предварительной экспертизы до разработки и внедрения исследовательского теста (например, путём проведения эксперемента или исследования по временному курсу; см. также Приложение A и ссылку[9]).</w:t>
      </w:r>
    </w:p>
    <w:p w:rsidR="000E6FD9" w:rsidRDefault="00233458" w:rsidP="004507E3">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 xml:space="preserve">До фиксации тканей в стандартном буферном растворе формалина профиль(и) РНК может существенно изменяться в зависимости от продолжительности критического или некритического хранения и температуры до </w:t>
      </w:r>
      <w:r>
        <w:rPr>
          <w:rFonts w:ascii="Arial" w:eastAsiaTheme="minorHAnsi" w:hAnsi="Arial" w:cs="Arial"/>
          <w:lang w:eastAsia="en-US"/>
        </w:rPr>
        <w:lastRenderedPageBreak/>
        <w:t xml:space="preserve">фиксации во формалине (например, индукция генов, регуляция понижение генов, деградации РНК). Кроме того, эти изменения могут варьироваться в тканях разных доноров/пациентов. </w:t>
      </w:r>
    </w:p>
    <w:p w:rsidR="000E6FD9" w:rsidRDefault="00233458" w:rsidP="004507E3">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Как правило, чем больше продолжительность критического и некритического хранения и чем выше температура окружающей среды до фиксации образца тканей, тем больше риск того, что может произойти изменение профиля белка.</w:t>
      </w:r>
    </w:p>
    <w:p w:rsidR="000E6FD9" w:rsidRDefault="00233458" w:rsidP="004507E3">
      <w:pPr>
        <w:suppressAutoHyphens w:val="0"/>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Примечание </w:t>
      </w:r>
      <w:r>
        <w:rPr>
          <w:rFonts w:ascii="Arial" w:eastAsiaTheme="minorHAnsi" w:hAnsi="Arial" w:cs="Arial"/>
          <w:sz w:val="20"/>
          <w:szCs w:val="20"/>
          <w:lang w:eastAsia="en-US"/>
        </w:rPr>
        <w:sym w:font="Symbol" w:char="F02D"/>
      </w:r>
      <w:r>
        <w:rPr>
          <w:rFonts w:ascii="Arial" w:eastAsiaTheme="minorHAnsi" w:hAnsi="Arial" w:cs="Arial"/>
          <w:sz w:val="20"/>
          <w:szCs w:val="20"/>
          <w:lang w:eastAsia="en-US"/>
        </w:rPr>
        <w:t xml:space="preserve">  Длительное критическое хранение приводит к изменению количества белка (например, цитокератина 18) и фосфопротеина (например, фосфо-стр.42/44) [3] . Хранение образца на мокром льду уменьшает этот эфект. Количество белка, а также модификации белка могут варьироваться в зависимости от происхождения и типа ткани, основного заболевания, хирургической процедуры, лекарственного режима и препаратов, вводимых для анастезии или лечения сопутствующего заболевания, а также от различных условий окружающей среды после удаления ткани из организма. </w:t>
      </w:r>
    </w:p>
    <w:p w:rsidR="000E6FD9" w:rsidRDefault="00233458" w:rsidP="004507E3">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 xml:space="preserve">Поскольку некритическое хранение сложно стандартизировать, его продолжительность должна быть задокументирована. Когда невозможно избежать критического хранения (например, транспортировка в лабораторию до фиксации формалином), его продолжительность должна быть задокументирована, а температура окружающей среды контейнера должна быть документирована. Если образец транспортируется в другие условия для фиксации формалином, то продолжительность транспортировки должна быть задокументирована и условия также должны быть задокументированы.  </w:t>
      </w:r>
    </w:p>
    <w:p w:rsidR="000E6FD9" w:rsidRDefault="00233458" w:rsidP="004507E3">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Кроме того, сама фиксация формалином, а также последущая продолжительность хранения ткани FFPE и температура хранения вызывают модификации биомолекул и приводят к субоптимальной производительности белка, выделенного из тканей FFPE . Это следует учитывать при контроле качества и применении молекулярно-аналитический тестов. Оптимизация аналитических тестов для тканей FFPE или использование несшивающихся альтернатив стандартному буферному раствору формалина являются вариантами минимизации этой проблемы для молекулярных исследований.</w:t>
      </w:r>
    </w:p>
    <w:p w:rsidR="000E6FD9" w:rsidRDefault="00233458" w:rsidP="004507E3">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lastRenderedPageBreak/>
        <w:t>Инструкции по технике безопасности при транспортировке и обработке должны рассматриваться и соблюдаться в соответствии с ISO 15189:2012, 5.2.3 и 5.4.5, а также ISO 15190.</w:t>
      </w:r>
    </w:p>
    <w:p w:rsidR="000E6FD9" w:rsidRDefault="00233458" w:rsidP="004507E3">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В течение всего процесса предварительной экспертизы должны быть приняты меры предосторожности, чтобы избежать перекрёстного заражения между различными образцами/пробами, например, путём использования одноразового материала, когда это возможно или соответствующих очистных процедур процессом обработки различных образцов/проб.</w:t>
      </w:r>
    </w:p>
    <w:p w:rsidR="000E6FD9" w:rsidRDefault="00233458" w:rsidP="004507E3">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Если коммерческий продукт не используется в соответствии с инструкциями производителя, ответственность за его использование и эксплуатационные характеристики возлагается на пользователя.</w:t>
      </w:r>
    </w:p>
    <w:p w:rsidR="000E6FD9" w:rsidRDefault="00233458" w:rsidP="004507E3">
      <w:pPr>
        <w:pStyle w:val="1"/>
        <w:spacing w:before="120" w:after="120" w:line="360" w:lineRule="auto"/>
        <w:ind w:firstLine="567"/>
        <w:jc w:val="both"/>
        <w:rPr>
          <w:rFonts w:ascii="Arial" w:hAnsi="Arial" w:cs="Arial"/>
          <w:color w:val="auto"/>
        </w:rPr>
      </w:pPr>
      <w:bookmarkStart w:id="10" w:name="_Toc40995884"/>
      <w:r>
        <w:rPr>
          <w:rFonts w:ascii="Arial" w:hAnsi="Arial" w:cs="Arial"/>
          <w:color w:val="auto"/>
        </w:rPr>
        <w:t>5 Вне лаборатории</w:t>
      </w:r>
      <w:bookmarkEnd w:id="10"/>
    </w:p>
    <w:p w:rsidR="000E6FD9" w:rsidRDefault="00233458" w:rsidP="004507E3">
      <w:pPr>
        <w:pStyle w:val="2"/>
        <w:spacing w:before="120" w:after="120" w:line="360" w:lineRule="auto"/>
        <w:ind w:firstLine="567"/>
        <w:jc w:val="both"/>
        <w:rPr>
          <w:rFonts w:ascii="Arial" w:hAnsi="Arial" w:cs="Arial"/>
          <w:b/>
          <w:color w:val="auto"/>
          <w:sz w:val="24"/>
          <w:szCs w:val="24"/>
          <w:lang w:eastAsia="en-US"/>
        </w:rPr>
      </w:pPr>
      <w:bookmarkStart w:id="11" w:name="_Toc40995885"/>
      <w:r>
        <w:rPr>
          <w:rFonts w:ascii="Arial" w:hAnsi="Arial" w:cs="Arial"/>
          <w:b/>
          <w:color w:val="auto"/>
          <w:sz w:val="24"/>
          <w:szCs w:val="24"/>
          <w:lang w:eastAsia="en-US"/>
        </w:rPr>
        <w:t>5.1 Сбор образцов</w:t>
      </w:r>
      <w:bookmarkEnd w:id="11"/>
    </w:p>
    <w:p w:rsidR="000E6FD9" w:rsidRDefault="00233458" w:rsidP="004507E3">
      <w:pPr>
        <w:pStyle w:val="3"/>
        <w:spacing w:before="120" w:beforeAutospacing="0" w:after="120" w:afterAutospacing="0" w:line="360" w:lineRule="auto"/>
        <w:ind w:firstLine="567"/>
        <w:jc w:val="both"/>
        <w:rPr>
          <w:rFonts w:ascii="Arial" w:eastAsiaTheme="minorHAnsi" w:hAnsi="Arial" w:cs="Arial"/>
          <w:sz w:val="24"/>
          <w:szCs w:val="24"/>
          <w:lang w:eastAsia="en-US"/>
        </w:rPr>
      </w:pPr>
      <w:bookmarkStart w:id="12" w:name="_Toc40995886"/>
      <w:r>
        <w:rPr>
          <w:rFonts w:ascii="Arial" w:eastAsiaTheme="minorHAnsi" w:hAnsi="Arial" w:cs="Arial"/>
          <w:sz w:val="24"/>
          <w:szCs w:val="24"/>
          <w:lang w:eastAsia="en-US"/>
        </w:rPr>
        <w:t>5.1.1 Общие положения</w:t>
      </w:r>
      <w:bookmarkEnd w:id="12"/>
    </w:p>
    <w:p w:rsidR="000E6FD9" w:rsidRDefault="00233458" w:rsidP="004507E3">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При сборе образца следует учитывать требования (например, обстоятельства болезни, размер образца) для предпологаемого молекулярного исследования (также см. </w:t>
      </w:r>
      <w:r>
        <w:rPr>
          <w:rFonts w:ascii="Arial" w:eastAsiaTheme="minorHAnsi" w:hAnsi="Arial" w:cs="Arial"/>
          <w:u w:val="single"/>
          <w:lang w:eastAsia="en-US"/>
        </w:rPr>
        <w:t>Пункт 6</w:t>
      </w:r>
      <w:r>
        <w:rPr>
          <w:rFonts w:ascii="Arial" w:eastAsiaTheme="minorHAnsi" w:hAnsi="Arial" w:cs="Arial"/>
          <w:lang w:eastAsia="en-US"/>
        </w:rPr>
        <w:t>).</w:t>
      </w:r>
    </w:p>
    <w:p w:rsidR="000E6FD9" w:rsidRDefault="00233458" w:rsidP="004507E3">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См. также ISO 15189:2012, 5.4.4.</w:t>
      </w:r>
    </w:p>
    <w:p w:rsidR="000E6FD9" w:rsidRDefault="00233458" w:rsidP="004507E3">
      <w:pPr>
        <w:pStyle w:val="3"/>
        <w:spacing w:before="120" w:beforeAutospacing="0" w:after="120" w:afterAutospacing="0" w:line="360" w:lineRule="auto"/>
        <w:ind w:firstLine="567"/>
        <w:jc w:val="both"/>
        <w:rPr>
          <w:rFonts w:ascii="Arial" w:eastAsiaTheme="minorHAnsi" w:hAnsi="Arial" w:cs="Arial"/>
          <w:sz w:val="24"/>
          <w:szCs w:val="24"/>
          <w:lang w:eastAsia="en-US"/>
        </w:rPr>
      </w:pPr>
      <w:bookmarkStart w:id="13" w:name="_Toc40995887"/>
      <w:r>
        <w:rPr>
          <w:rFonts w:ascii="Arial" w:eastAsiaTheme="minorHAnsi" w:hAnsi="Arial" w:cs="Arial"/>
          <w:sz w:val="24"/>
          <w:szCs w:val="24"/>
          <w:lang w:eastAsia="en-US"/>
        </w:rPr>
        <w:t>5.1.2 Информация о доноре/пациенте образца</w:t>
      </w:r>
      <w:bookmarkEnd w:id="13"/>
    </w:p>
    <w:p w:rsidR="000E6FD9" w:rsidRDefault="00233458" w:rsidP="004507E3">
      <w:pPr>
        <w:suppressAutoHyphens w:val="0"/>
        <w:spacing w:before="120" w:after="120" w:line="360" w:lineRule="auto"/>
        <w:ind w:firstLine="567"/>
        <w:jc w:val="both"/>
        <w:rPr>
          <w:rFonts w:ascii="Arial" w:eastAsiaTheme="minorHAnsi" w:hAnsi="Arial" w:cs="Arial"/>
          <w:lang w:eastAsia="en-US" w:bidi="en-US"/>
        </w:rPr>
      </w:pPr>
      <w:r>
        <w:rPr>
          <w:rFonts w:ascii="Arial" w:eastAsiaTheme="minorHAnsi" w:hAnsi="Arial" w:cs="Arial"/>
          <w:lang w:eastAsia="en-US"/>
        </w:rPr>
        <w:t>Документация должна содержать идентификационный номер донора/пациента образца, который может быть представлен в виде кода. Документация должна включать в себя, но не ограничиваться:</w:t>
      </w:r>
    </w:p>
    <w:p w:rsidR="000E6FD9" w:rsidRDefault="00233458" w:rsidP="004507E3">
      <w:pPr>
        <w:pStyle w:val="16"/>
        <w:numPr>
          <w:ilvl w:val="0"/>
          <w:numId w:val="3"/>
        </w:numPr>
        <w:tabs>
          <w:tab w:val="left" w:pos="993"/>
        </w:tabs>
        <w:suppressAutoHyphens w:val="0"/>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t>соответствующее состояние здоровья донора/пациента образца (например, здоровый, тип заболевания, сопутствующий болезни, демография [например, возраст и пол]);</w:t>
      </w:r>
    </w:p>
    <w:p w:rsidR="000E6FD9" w:rsidRDefault="00233458" w:rsidP="004507E3">
      <w:pPr>
        <w:tabs>
          <w:tab w:val="left" w:pos="993"/>
        </w:tabs>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bidi="en-US"/>
        </w:rPr>
        <w:t>b</w:t>
      </w:r>
      <w:r w:rsidR="004507E3">
        <w:rPr>
          <w:rFonts w:ascii="Arial" w:eastAsiaTheme="minorHAnsi" w:hAnsi="Arial" w:cs="Arial"/>
          <w:lang w:eastAsia="en-US"/>
        </w:rPr>
        <w:t>)</w:t>
      </w:r>
      <w:r>
        <w:rPr>
          <w:rFonts w:ascii="Arial" w:eastAsiaTheme="minorHAnsi" w:hAnsi="Arial" w:cs="Arial"/>
          <w:lang w:eastAsia="en-US"/>
        </w:rPr>
        <w:tab/>
        <w:t>информация о плановом медицинском лечении и специальной подготовке перед забором тканей (например, анестетики, медикаменты, хирургические или диагностические процедуры);</w:t>
      </w:r>
    </w:p>
    <w:p w:rsidR="000E6FD9" w:rsidRDefault="00233458" w:rsidP="004507E3">
      <w:pPr>
        <w:tabs>
          <w:tab w:val="left" w:pos="993"/>
        </w:tabs>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bidi="en-US"/>
        </w:rPr>
        <w:lastRenderedPageBreak/>
        <w:t>c</w:t>
      </w:r>
      <w:r>
        <w:rPr>
          <w:rFonts w:ascii="Arial" w:eastAsiaTheme="minorHAnsi" w:hAnsi="Arial" w:cs="Arial"/>
          <w:lang w:eastAsia="en-US"/>
        </w:rPr>
        <w:t xml:space="preserve">) </w:t>
      </w:r>
      <w:r>
        <w:rPr>
          <w:rFonts w:ascii="Arial" w:eastAsiaTheme="minorHAnsi" w:hAnsi="Arial" w:cs="Arial"/>
          <w:lang w:eastAsia="en-US"/>
        </w:rPr>
        <w:tab/>
        <w:t>соответствующее согласие от донора/пациента образца.</w:t>
      </w:r>
    </w:p>
    <w:p w:rsidR="000E6FD9" w:rsidRDefault="00233458" w:rsidP="00A53C26">
      <w:pPr>
        <w:pStyle w:val="3"/>
        <w:spacing w:before="120" w:beforeAutospacing="0" w:after="120" w:afterAutospacing="0" w:line="360" w:lineRule="auto"/>
        <w:ind w:firstLine="567"/>
        <w:rPr>
          <w:rFonts w:ascii="Arial" w:eastAsiaTheme="minorHAnsi" w:hAnsi="Arial" w:cs="Arial"/>
          <w:sz w:val="24"/>
          <w:szCs w:val="24"/>
          <w:lang w:eastAsia="en-US"/>
        </w:rPr>
      </w:pPr>
      <w:bookmarkStart w:id="14" w:name="_bookmark7"/>
      <w:bookmarkStart w:id="15" w:name="_Toc40995888"/>
      <w:bookmarkEnd w:id="14"/>
      <w:r>
        <w:rPr>
          <w:rFonts w:ascii="Arial" w:eastAsiaTheme="minorHAnsi" w:hAnsi="Arial" w:cs="Arial"/>
          <w:sz w:val="24"/>
          <w:szCs w:val="24"/>
          <w:lang w:eastAsia="en-US"/>
        </w:rPr>
        <w:t>5.1.3 Информация об образце</w:t>
      </w:r>
      <w:bookmarkEnd w:id="15"/>
    </w:p>
    <w:p w:rsidR="000E6FD9" w:rsidRDefault="00233458" w:rsidP="00A53C26">
      <w:pPr>
        <w:suppressAutoHyphens w:val="0"/>
        <w:spacing w:line="360" w:lineRule="auto"/>
        <w:ind w:firstLine="567"/>
        <w:jc w:val="both"/>
        <w:rPr>
          <w:rFonts w:ascii="Arial" w:eastAsiaTheme="minorHAnsi" w:hAnsi="Arial" w:cs="Arial"/>
          <w:lang w:eastAsia="en-US"/>
        </w:rPr>
      </w:pPr>
      <w:bookmarkStart w:id="16" w:name="_bookmark8"/>
      <w:bookmarkEnd w:id="16"/>
      <w:r>
        <w:rPr>
          <w:rFonts w:ascii="Arial" w:eastAsiaTheme="minorHAnsi" w:hAnsi="Arial" w:cs="Arial"/>
          <w:lang w:eastAsia="en-US"/>
        </w:rPr>
        <w:t>Документация должна включать в себя, но не ограничиваться:</w:t>
      </w:r>
    </w:p>
    <w:p w:rsidR="000E6FD9" w:rsidRDefault="00233458" w:rsidP="004507E3">
      <w:pPr>
        <w:pStyle w:val="16"/>
        <w:numPr>
          <w:ilvl w:val="0"/>
          <w:numId w:val="4"/>
        </w:numPr>
        <w:tabs>
          <w:tab w:val="left" w:pos="993"/>
        </w:tabs>
        <w:suppressAutoHyphens w:val="0"/>
        <w:spacing w:before="120" w:after="120" w:line="360" w:lineRule="auto"/>
        <w:ind w:left="0" w:firstLine="567"/>
        <w:jc w:val="both"/>
        <w:rPr>
          <w:rFonts w:ascii="Arial" w:eastAsiaTheme="minorHAnsi" w:hAnsi="Arial" w:cs="Arial"/>
          <w:lang w:eastAsia="en-US" w:bidi="en-US"/>
        </w:rPr>
      </w:pPr>
      <w:r>
        <w:rPr>
          <w:rFonts w:ascii="Arial" w:eastAsiaTheme="minorHAnsi" w:hAnsi="Arial" w:cs="Arial"/>
          <w:lang w:eastAsia="en-US" w:bidi="en-US"/>
        </w:rPr>
        <w:t>изначальное нахождение в теле (некритическое хранение) путём документирования актуальности хранения в момент перевязки/зажима сосуда (обычно время зажима артерии);</w:t>
      </w:r>
    </w:p>
    <w:p w:rsidR="000E6FD9" w:rsidRDefault="00233458" w:rsidP="004507E3">
      <w:pPr>
        <w:pStyle w:val="16"/>
        <w:numPr>
          <w:ilvl w:val="0"/>
          <w:numId w:val="4"/>
        </w:numPr>
        <w:tabs>
          <w:tab w:val="left" w:pos="993"/>
        </w:tabs>
        <w:suppressAutoHyphens w:val="0"/>
        <w:spacing w:before="120" w:after="120" w:line="360" w:lineRule="auto"/>
        <w:ind w:left="0" w:firstLine="567"/>
        <w:jc w:val="both"/>
        <w:rPr>
          <w:rFonts w:ascii="Arial" w:eastAsiaTheme="minorHAnsi" w:hAnsi="Arial" w:cs="Arial"/>
          <w:lang w:eastAsia="en-US" w:bidi="en-US"/>
        </w:rPr>
      </w:pPr>
      <w:r>
        <w:rPr>
          <w:rFonts w:ascii="Arial" w:eastAsiaTheme="minorHAnsi" w:hAnsi="Arial" w:cs="Arial"/>
          <w:lang w:eastAsia="en-US" w:bidi="en-US"/>
        </w:rPr>
        <w:t>время и дата удаления ткани из организма и способ её удаления (например, толстоигольная биопсия, резекция, биопсийное устройство, используемое для забора);</w:t>
      </w:r>
    </w:p>
    <w:p w:rsidR="000E6FD9" w:rsidRDefault="00233458" w:rsidP="004507E3">
      <w:pPr>
        <w:pStyle w:val="16"/>
        <w:numPr>
          <w:ilvl w:val="0"/>
          <w:numId w:val="4"/>
        </w:numPr>
        <w:tabs>
          <w:tab w:val="left" w:pos="993"/>
        </w:tabs>
        <w:suppressAutoHyphens w:val="0"/>
        <w:spacing w:before="120" w:after="120" w:line="360" w:lineRule="auto"/>
        <w:ind w:left="0" w:firstLine="567"/>
        <w:jc w:val="both"/>
        <w:rPr>
          <w:rFonts w:ascii="Arial" w:eastAsiaTheme="minorHAnsi" w:hAnsi="Arial" w:cs="Arial"/>
          <w:lang w:eastAsia="en-US" w:bidi="en-US"/>
        </w:rPr>
      </w:pPr>
      <w:r>
        <w:rPr>
          <w:rFonts w:ascii="Arial" w:eastAsiaTheme="minorHAnsi" w:hAnsi="Arial" w:cs="Arial"/>
          <w:lang w:eastAsia="en-US" w:bidi="en-US"/>
        </w:rPr>
        <w:t>описание типа и происхождения ткани, состояние ткани (например, больной, незатронутый болезнью), включая ссылки на любую маркировку, нанесённую хирургом, рентгенологом или патологом в операционной или за её пределами;</w:t>
      </w:r>
    </w:p>
    <w:p w:rsidR="000E6FD9" w:rsidRDefault="00233458" w:rsidP="004507E3">
      <w:pPr>
        <w:pStyle w:val="16"/>
        <w:numPr>
          <w:ilvl w:val="0"/>
          <w:numId w:val="4"/>
        </w:numPr>
        <w:tabs>
          <w:tab w:val="left" w:pos="993"/>
        </w:tabs>
        <w:suppressAutoHyphens w:val="0"/>
        <w:spacing w:before="120" w:after="120" w:line="360" w:lineRule="auto"/>
        <w:ind w:left="0" w:firstLine="567"/>
        <w:jc w:val="both"/>
        <w:rPr>
          <w:rFonts w:ascii="Arial" w:eastAsiaTheme="minorHAnsi" w:hAnsi="Arial" w:cs="Arial"/>
          <w:lang w:eastAsia="en-US" w:bidi="en-US"/>
        </w:rPr>
      </w:pPr>
      <w:r>
        <w:rPr>
          <w:rFonts w:ascii="Arial" w:eastAsiaTheme="minorHAnsi" w:hAnsi="Arial" w:cs="Arial"/>
          <w:lang w:eastAsia="en-US" w:bidi="en-US"/>
        </w:rPr>
        <w:t xml:space="preserve">этапы документирования, описанные в пункте </w:t>
      </w:r>
      <w:r>
        <w:rPr>
          <w:rFonts w:ascii="Arial" w:eastAsiaTheme="minorHAnsi" w:hAnsi="Arial" w:cs="Arial"/>
          <w:u w:val="single"/>
          <w:lang w:eastAsia="en-US" w:bidi="en-US"/>
        </w:rPr>
        <w:t>6.2</w:t>
      </w:r>
      <w:r>
        <w:rPr>
          <w:rFonts w:ascii="Arial" w:eastAsiaTheme="minorHAnsi" w:hAnsi="Arial" w:cs="Arial"/>
          <w:lang w:eastAsia="en-US" w:bidi="en-US"/>
        </w:rPr>
        <w:t xml:space="preserve">, если фиксация формалином начинается вне лаборатории, а также этапы документирования, описанные в пункте </w:t>
      </w:r>
      <w:r>
        <w:rPr>
          <w:rFonts w:ascii="Arial" w:eastAsiaTheme="minorHAnsi" w:hAnsi="Arial" w:cs="Arial"/>
          <w:u w:val="single"/>
          <w:lang w:eastAsia="en-US" w:bidi="en-US"/>
        </w:rPr>
        <w:t>6.3</w:t>
      </w:r>
      <w:r>
        <w:rPr>
          <w:rFonts w:ascii="Arial" w:eastAsiaTheme="minorHAnsi" w:hAnsi="Arial" w:cs="Arial"/>
          <w:lang w:eastAsia="en-US" w:bidi="en-US"/>
        </w:rPr>
        <w:t>, если оценка патологии образца и отбор образца(ов) также производится вне лаборатории.</w:t>
      </w:r>
    </w:p>
    <w:p w:rsidR="000E6FD9" w:rsidRDefault="00233458" w:rsidP="00A53C26">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В документации также должно быть указано удостоверение личности ответственного лица за сбор образца.</w:t>
      </w:r>
    </w:p>
    <w:p w:rsidR="000E6FD9" w:rsidRDefault="00233458" w:rsidP="00A53C26">
      <w:pPr>
        <w:pStyle w:val="3"/>
        <w:spacing w:before="120" w:beforeAutospacing="0" w:after="120" w:afterAutospacing="0" w:line="360" w:lineRule="auto"/>
        <w:ind w:firstLine="567"/>
        <w:rPr>
          <w:rFonts w:ascii="Arial" w:eastAsiaTheme="minorHAnsi" w:hAnsi="Arial" w:cs="Arial"/>
          <w:sz w:val="24"/>
          <w:szCs w:val="24"/>
          <w:lang w:eastAsia="en-US"/>
        </w:rPr>
      </w:pPr>
      <w:bookmarkStart w:id="17" w:name="_Toc40995889"/>
      <w:r>
        <w:rPr>
          <w:rFonts w:ascii="Arial" w:eastAsiaTheme="minorHAnsi" w:hAnsi="Arial" w:cs="Arial"/>
          <w:sz w:val="24"/>
          <w:szCs w:val="24"/>
          <w:lang w:eastAsia="en-US"/>
        </w:rPr>
        <w:t>5.1.4 Обработка образцов</w:t>
      </w:r>
      <w:bookmarkEnd w:id="17"/>
    </w:p>
    <w:p w:rsidR="000E6FD9" w:rsidRDefault="00233458" w:rsidP="00A53C26">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Необходимо выполнить следующие действия:</w:t>
      </w:r>
    </w:p>
    <w:p w:rsidR="000E6FD9" w:rsidRDefault="00233458" w:rsidP="004507E3">
      <w:pPr>
        <w:pStyle w:val="16"/>
        <w:numPr>
          <w:ilvl w:val="0"/>
          <w:numId w:val="5"/>
        </w:numPr>
        <w:tabs>
          <w:tab w:val="left" w:pos="993"/>
        </w:tabs>
        <w:suppressAutoHyphens w:val="0"/>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t>документация о любом добавление или изменение образца после удаления из тела; (например, маркировка для ориентации образца квадратная (например, маркировка чернилами, швы, надрез(ы)]);</w:t>
      </w:r>
    </w:p>
    <w:p w:rsidR="000E6FD9" w:rsidRDefault="00233458" w:rsidP="004507E3">
      <w:pPr>
        <w:pStyle w:val="16"/>
        <w:numPr>
          <w:ilvl w:val="0"/>
          <w:numId w:val="5"/>
        </w:numPr>
        <w:tabs>
          <w:tab w:val="left" w:pos="993"/>
        </w:tabs>
        <w:suppressAutoHyphens w:val="0"/>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t>выбора использования контейнеров и упаковок (например, термоконтейнер), коробка для хранения и транспортировки, вакуумная упаковка) в соответствии с примененными применимыми правилами транспортировки;</w:t>
      </w:r>
    </w:p>
    <w:p w:rsidR="000E6FD9" w:rsidRDefault="00233458" w:rsidP="004507E3">
      <w:pPr>
        <w:pStyle w:val="16"/>
        <w:numPr>
          <w:ilvl w:val="0"/>
          <w:numId w:val="5"/>
        </w:numPr>
        <w:tabs>
          <w:tab w:val="left" w:pos="993"/>
        </w:tabs>
        <w:suppressAutoHyphens w:val="0"/>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t>выбор и использование процедур стабилизации (например, методы охлаждения) для транспортировки;</w:t>
      </w:r>
    </w:p>
    <w:p w:rsidR="000E6FD9" w:rsidRDefault="00233458" w:rsidP="004507E3">
      <w:pPr>
        <w:suppressAutoHyphens w:val="0"/>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lastRenderedPageBreak/>
        <w:t>Примечание 1 Случайная замораживание ткани (например, при неправильном использовании охлаждающих установок) может привести к деградации РНК, вследствие чего ткань размораживается. Это также может повлиять на морфологическую характеристику.</w:t>
      </w:r>
    </w:p>
    <w:p w:rsidR="000E6FD9" w:rsidRDefault="00233458" w:rsidP="004507E3">
      <w:pPr>
        <w:suppressAutoHyphens w:val="0"/>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Примечание 2 Этот шаг может быть опущен, если образец переносится непосредственно во стандартны буферной раствор формалина (см. </w:t>
      </w:r>
      <w:r>
        <w:rPr>
          <w:rFonts w:ascii="Arial" w:eastAsiaTheme="minorHAnsi" w:hAnsi="Arial" w:cs="Arial"/>
          <w:sz w:val="20"/>
          <w:szCs w:val="20"/>
          <w:u w:val="single"/>
          <w:lang w:eastAsia="en-US"/>
        </w:rPr>
        <w:t>6.2</w:t>
      </w:r>
      <w:r>
        <w:rPr>
          <w:rFonts w:ascii="Arial" w:eastAsiaTheme="minorHAnsi" w:hAnsi="Arial" w:cs="Arial"/>
          <w:sz w:val="20"/>
          <w:szCs w:val="20"/>
          <w:lang w:eastAsia="en-US"/>
        </w:rPr>
        <w:t xml:space="preserve"> и обратите внимание на важность объема фиксатора и секционирования ткани для обеспечения проникновения фиксатора).</w:t>
      </w:r>
    </w:p>
    <w:p w:rsidR="000E6FD9" w:rsidRDefault="00233458" w:rsidP="004507E3">
      <w:pPr>
        <w:pStyle w:val="16"/>
        <w:numPr>
          <w:ilvl w:val="0"/>
          <w:numId w:val="5"/>
        </w:numPr>
        <w:tabs>
          <w:tab w:val="left" w:pos="993"/>
        </w:tabs>
        <w:suppressAutoHyphens w:val="0"/>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t xml:space="preserve">маркировка контейнера [например, регистрационный номер, штрих-код (1D или 2D), тип образца, количество и ткань органа происхождения] и дополнительная документация [информация, указанная в пунктах </w:t>
      </w:r>
      <w:r>
        <w:rPr>
          <w:rFonts w:ascii="Arial" w:eastAsiaTheme="minorHAnsi" w:hAnsi="Arial" w:cs="Arial"/>
          <w:u w:val="single"/>
          <w:lang w:eastAsia="en-US"/>
        </w:rPr>
        <w:t>5.1.2</w:t>
      </w:r>
      <w:r>
        <w:rPr>
          <w:rFonts w:ascii="Arial" w:eastAsiaTheme="minorHAnsi" w:hAnsi="Arial" w:cs="Arial"/>
          <w:lang w:eastAsia="en-US"/>
        </w:rPr>
        <w:t xml:space="preserve">, </w:t>
      </w:r>
      <w:r>
        <w:rPr>
          <w:rFonts w:ascii="Arial" w:eastAsiaTheme="minorHAnsi" w:hAnsi="Arial" w:cs="Arial"/>
          <w:u w:val="single"/>
          <w:lang w:eastAsia="en-US"/>
        </w:rPr>
        <w:t>5.1.3</w:t>
      </w:r>
      <w:r>
        <w:rPr>
          <w:rFonts w:ascii="Arial" w:eastAsiaTheme="minorHAnsi" w:hAnsi="Arial" w:cs="Arial"/>
          <w:lang w:eastAsia="en-US"/>
        </w:rPr>
        <w:t xml:space="preserve">, </w:t>
      </w:r>
      <w:r>
        <w:rPr>
          <w:rFonts w:ascii="Arial" w:eastAsiaTheme="minorHAnsi" w:hAnsi="Arial" w:cs="Arial"/>
          <w:u w:val="single"/>
          <w:lang w:eastAsia="en-US"/>
        </w:rPr>
        <w:t>5.1.4</w:t>
      </w:r>
      <w:r>
        <w:rPr>
          <w:rFonts w:ascii="Arial" w:eastAsiaTheme="minorHAnsi" w:hAnsi="Arial" w:cs="Arial"/>
          <w:lang w:eastAsia="en-US"/>
        </w:rPr>
        <w:t xml:space="preserve"> a) к c)].</w:t>
      </w:r>
    </w:p>
    <w:p w:rsidR="000E6FD9" w:rsidRDefault="00233458" w:rsidP="00A53C26">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Несколько образцов от одного и того же пациента/донора, имеющих сходные характеристики (Макроскопически вид, тип ткани, состояние заболевания и анатомическое расположение), контейнер/контейнеры, отсек.</w:t>
      </w:r>
    </w:p>
    <w:p w:rsidR="000E6FD9" w:rsidRDefault="00233458" w:rsidP="00A53C26">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В образцы должны быть без промедления перенесены в контейнер после удаления из тела. Контейнер следует хранить на влажном льду или при температуре от 2 °C до 8 °C, чтобы свести к минимуму изменения профиля белка.</w:t>
      </w:r>
    </w:p>
    <w:p w:rsidR="000E6FD9" w:rsidRDefault="00233458" w:rsidP="00A53C26">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Температура окружающей среды контейнера во время критического хранения (например, температура в разных помещениях, транспортировка) должна быть задокументирована. Если температура не может быть измерен, то диапазон температур должен быть оценен по классификации как температура окружающей среды, комнатная температура или от 2 °C до 8 °C.</w:t>
      </w:r>
    </w:p>
    <w:p w:rsidR="000E6FD9" w:rsidRDefault="00233458" w:rsidP="00A53C26">
      <w:pPr>
        <w:pStyle w:val="2"/>
        <w:spacing w:before="120" w:after="120" w:line="360" w:lineRule="auto"/>
        <w:ind w:firstLine="567"/>
        <w:rPr>
          <w:rFonts w:ascii="Arial" w:hAnsi="Arial" w:cs="Arial"/>
          <w:b/>
          <w:color w:val="auto"/>
          <w:lang w:eastAsia="en-US"/>
        </w:rPr>
      </w:pPr>
      <w:bookmarkStart w:id="18" w:name="_Toc40995890"/>
      <w:r>
        <w:rPr>
          <w:rFonts w:ascii="Arial" w:hAnsi="Arial" w:cs="Arial"/>
          <w:b/>
          <w:color w:val="auto"/>
          <w:lang w:eastAsia="en-US"/>
        </w:rPr>
        <w:t>5.2</w:t>
      </w:r>
      <w:r>
        <w:rPr>
          <w:rFonts w:ascii="Arial" w:hAnsi="Arial" w:cs="Arial"/>
          <w:b/>
          <w:color w:val="auto"/>
          <w:lang w:eastAsia="en-US"/>
        </w:rPr>
        <w:tab/>
      </w:r>
      <w:r>
        <w:rPr>
          <w:rFonts w:ascii="Arial" w:hAnsi="Arial" w:cs="Arial"/>
          <w:b/>
          <w:color w:val="auto"/>
          <w:sz w:val="24"/>
          <w:szCs w:val="24"/>
          <w:lang w:eastAsia="en-US"/>
        </w:rPr>
        <w:t>Требования к транспортировке</w:t>
      </w:r>
      <w:bookmarkEnd w:id="18"/>
      <w:r>
        <w:rPr>
          <w:rFonts w:ascii="Arial" w:hAnsi="Arial" w:cs="Arial"/>
          <w:b/>
          <w:color w:val="auto"/>
          <w:sz w:val="24"/>
          <w:szCs w:val="24"/>
          <w:lang w:eastAsia="en-US"/>
        </w:rPr>
        <w:t xml:space="preserve"> </w:t>
      </w:r>
    </w:p>
    <w:p w:rsidR="000E6FD9" w:rsidRDefault="00233458" w:rsidP="00A53C26">
      <w:pPr>
        <w:spacing w:line="360" w:lineRule="auto"/>
        <w:ind w:firstLine="567"/>
        <w:jc w:val="both"/>
        <w:rPr>
          <w:rFonts w:ascii="Arial" w:eastAsiaTheme="minorHAnsi" w:hAnsi="Arial" w:cs="Arial"/>
          <w:lang w:eastAsia="en-US"/>
        </w:rPr>
      </w:pPr>
      <w:bookmarkStart w:id="19" w:name="_Toc40390112"/>
      <w:r>
        <w:rPr>
          <w:rFonts w:ascii="Arial" w:eastAsiaTheme="minorHAnsi" w:hAnsi="Arial" w:cs="Arial"/>
          <w:lang w:eastAsia="en-US"/>
        </w:rPr>
        <w:t>Лаборатория сотрудничестве с клиническим или хирургическим отделением устанавливает протокол для процедуры транспортировки образца.</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Контроль температуры должен применяться соответствующим образом.</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Если образец ещё не помещен в стандартный буферный раствор формалина, его следует без промедления транспортировать на влажном льду или при температуре от 2</w:t>
      </w:r>
      <w:r>
        <w:rPr>
          <w:rFonts w:ascii="Arial" w:eastAsiaTheme="minorHAnsi" w:hAnsi="Arial" w:cs="Arial"/>
          <w:lang w:eastAsia="en-US" w:bidi="en-US"/>
        </w:rPr>
        <w:t> </w:t>
      </w:r>
      <w:r>
        <w:rPr>
          <w:rFonts w:ascii="Arial" w:eastAsiaTheme="minorHAnsi" w:hAnsi="Arial" w:cs="Arial"/>
          <w:lang w:eastAsia="en-US"/>
        </w:rPr>
        <w:t>°</w:t>
      </w:r>
      <w:r>
        <w:rPr>
          <w:rFonts w:ascii="Arial" w:eastAsiaTheme="minorHAnsi" w:hAnsi="Arial" w:cs="Arial"/>
          <w:lang w:eastAsia="en-US" w:bidi="en-US"/>
        </w:rPr>
        <w:t>C</w:t>
      </w:r>
      <w:r>
        <w:rPr>
          <w:rFonts w:ascii="Arial" w:eastAsiaTheme="minorHAnsi" w:hAnsi="Arial" w:cs="Arial"/>
          <w:lang w:eastAsia="en-US"/>
        </w:rPr>
        <w:t xml:space="preserve"> до 8</w:t>
      </w:r>
      <w:r>
        <w:rPr>
          <w:rFonts w:ascii="Arial" w:eastAsiaTheme="minorHAnsi" w:hAnsi="Arial" w:cs="Arial"/>
          <w:lang w:eastAsia="en-US" w:bidi="en-US"/>
        </w:rPr>
        <w:t> </w:t>
      </w:r>
      <w:r>
        <w:rPr>
          <w:rFonts w:ascii="Arial" w:eastAsiaTheme="minorHAnsi" w:hAnsi="Arial" w:cs="Arial"/>
          <w:lang w:eastAsia="en-US"/>
        </w:rPr>
        <w:t>°</w:t>
      </w:r>
      <w:r>
        <w:rPr>
          <w:rFonts w:ascii="Arial" w:eastAsiaTheme="minorHAnsi" w:hAnsi="Arial" w:cs="Arial"/>
          <w:lang w:eastAsia="en-US" w:bidi="en-US"/>
        </w:rPr>
        <w:t>C</w:t>
      </w:r>
      <w:r>
        <w:rPr>
          <w:rFonts w:ascii="Arial" w:eastAsiaTheme="minorHAnsi" w:hAnsi="Arial" w:cs="Arial"/>
          <w:lang w:eastAsia="en-US"/>
        </w:rPr>
        <w:t xml:space="preserve">, чтобы свести к минимуму изменения в профиле белка. </w:t>
      </w:r>
    </w:p>
    <w:p w:rsidR="000E6FD9" w:rsidRDefault="00233458" w:rsidP="00A53C26">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lastRenderedPageBreak/>
        <w:t>Примечание</w:t>
      </w:r>
      <w:proofErr w:type="gramStart"/>
      <w:r>
        <w:rPr>
          <w:rFonts w:ascii="Arial" w:eastAsiaTheme="minorHAnsi" w:hAnsi="Arial" w:cs="Arial"/>
          <w:sz w:val="20"/>
          <w:szCs w:val="20"/>
          <w:lang w:eastAsia="en-US"/>
        </w:rPr>
        <w:t xml:space="preserve"> </w:t>
      </w:r>
      <w:r>
        <w:rPr>
          <w:rFonts w:ascii="Arial" w:eastAsiaTheme="minorHAnsi" w:hAnsi="Arial" w:cs="Arial"/>
          <w:sz w:val="20"/>
          <w:szCs w:val="20"/>
          <w:lang w:eastAsia="en-US"/>
        </w:rPr>
        <w:sym w:font="Symbol" w:char="F02D"/>
      </w:r>
      <w:r>
        <w:rPr>
          <w:rFonts w:ascii="Arial" w:eastAsiaTheme="minorHAnsi" w:hAnsi="Arial" w:cs="Arial"/>
          <w:sz w:val="20"/>
          <w:szCs w:val="20"/>
          <w:lang w:eastAsia="en-US"/>
        </w:rPr>
        <w:t xml:space="preserve"> И</w:t>
      </w:r>
      <w:proofErr w:type="gramEnd"/>
      <w:r>
        <w:rPr>
          <w:rFonts w:ascii="Arial" w:eastAsiaTheme="minorHAnsi" w:hAnsi="Arial" w:cs="Arial"/>
          <w:sz w:val="20"/>
          <w:szCs w:val="20"/>
          <w:lang w:eastAsia="en-US"/>
        </w:rPr>
        <w:t>меются данные о том, что стабилизация профилей белка в тканях на влажном льду может быть улучшена в будущем при использовании вакуумных пластиковых пакетов[</w:t>
      </w:r>
      <w:hyperlink w:anchor="_bookmark48" w:history="1">
        <w:r>
          <w:rPr>
            <w:rStyle w:val="afa"/>
            <w:rFonts w:ascii="Arial" w:eastAsiaTheme="minorHAnsi" w:hAnsi="Arial" w:cs="Arial"/>
            <w:color w:val="auto"/>
            <w:sz w:val="20"/>
            <w:szCs w:val="20"/>
            <w:lang w:eastAsia="en-US"/>
          </w:rPr>
          <w:t>15</w:t>
        </w:r>
      </w:hyperlink>
      <w:r>
        <w:rPr>
          <w:rFonts w:ascii="Arial" w:eastAsiaTheme="minorHAnsi" w:hAnsi="Arial" w:cs="Arial"/>
          <w:sz w:val="20"/>
          <w:szCs w:val="20"/>
          <w:lang w:eastAsia="en-US"/>
        </w:rPr>
        <w:t>].</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Если образец уже помещен в стандартный буферной раствор формалина вне лаборатории, то температура во время транспортировки не должна превышать комнатной.</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Соответствии с протоколом процедура транспортировки должна быть задокументирована.</w:t>
      </w:r>
    </w:p>
    <w:p w:rsidR="000E6FD9" w:rsidRDefault="00233458" w:rsidP="00A53C26">
      <w:pPr>
        <w:pStyle w:val="1"/>
        <w:spacing w:before="240" w:after="240" w:line="360" w:lineRule="auto"/>
        <w:ind w:firstLine="567"/>
        <w:rPr>
          <w:rFonts w:ascii="Arial" w:hAnsi="Arial" w:cs="Arial"/>
          <w:color w:val="auto"/>
        </w:rPr>
      </w:pPr>
      <w:bookmarkStart w:id="20" w:name="_Toc40995891"/>
      <w:bookmarkEnd w:id="19"/>
      <w:r>
        <w:rPr>
          <w:rFonts w:ascii="Arial" w:hAnsi="Arial" w:cs="Arial"/>
          <w:color w:val="auto"/>
        </w:rPr>
        <w:t>6 В лаборатории</w:t>
      </w:r>
      <w:bookmarkEnd w:id="20"/>
    </w:p>
    <w:p w:rsidR="000E6FD9" w:rsidRDefault="00233458" w:rsidP="004507E3">
      <w:pPr>
        <w:pStyle w:val="2"/>
        <w:tabs>
          <w:tab w:val="left" w:pos="1134"/>
        </w:tabs>
        <w:spacing w:before="120" w:after="120" w:line="360" w:lineRule="auto"/>
        <w:ind w:firstLine="567"/>
        <w:rPr>
          <w:rFonts w:ascii="Arial" w:hAnsi="Arial" w:cs="Arial"/>
          <w:b/>
          <w:color w:val="auto"/>
          <w:lang w:eastAsia="en-US"/>
        </w:rPr>
      </w:pPr>
      <w:bookmarkStart w:id="21" w:name="_Toc40995892"/>
      <w:r>
        <w:rPr>
          <w:rFonts w:ascii="Arial" w:hAnsi="Arial" w:cs="Arial"/>
          <w:b/>
          <w:color w:val="auto"/>
          <w:lang w:eastAsia="en-US"/>
        </w:rPr>
        <w:t>6.1</w:t>
      </w:r>
      <w:r>
        <w:rPr>
          <w:rFonts w:ascii="Arial" w:hAnsi="Arial" w:cs="Arial"/>
          <w:b/>
          <w:color w:val="auto"/>
          <w:lang w:eastAsia="en-US"/>
        </w:rPr>
        <w:tab/>
        <w:t>Информация о приёме образца</w:t>
      </w:r>
      <w:bookmarkEnd w:id="21"/>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Удостоверение личности или имя лица, получившего образец, должно быть задокументировано. Дата и время прибытия образца, а также условия (например, маркировка, условия транспортировки, включая температуру, тип ткани и количество образца, утечка/разрыв контейнера) полученных образцов должны быть задокументированы. Любое отклонение от установленного протокола при процедуре перевозки (см. </w:t>
      </w:r>
      <w:hyperlink w:anchor="_bookmark17" w:history="1">
        <w:r>
          <w:rPr>
            <w:rFonts w:ascii="Arial" w:hAnsi="Arial" w:cs="Arial"/>
            <w:u w:val="single"/>
            <w:lang w:eastAsia="en-US"/>
          </w:rPr>
          <w:t>5.2</w:t>
        </w:r>
      </w:hyperlink>
      <w:r>
        <w:rPr>
          <w:rFonts w:ascii="Arial" w:eastAsiaTheme="minorHAnsi" w:hAnsi="Arial" w:cs="Arial"/>
          <w:lang w:eastAsia="en-US"/>
        </w:rPr>
        <w:t>) должно быть задокументировано.</w:t>
      </w:r>
    </w:p>
    <w:p w:rsidR="000E6FD9" w:rsidRDefault="00233458" w:rsidP="00A53C26">
      <w:pPr>
        <w:spacing w:line="360" w:lineRule="auto"/>
        <w:ind w:firstLine="567"/>
        <w:rPr>
          <w:rFonts w:ascii="Arial" w:eastAsiaTheme="minorHAnsi" w:hAnsi="Arial" w:cs="Arial"/>
          <w:lang w:eastAsia="en-US" w:bidi="en-US"/>
        </w:rPr>
      </w:pPr>
      <w:r>
        <w:rPr>
          <w:rFonts w:ascii="Arial" w:eastAsiaTheme="minorHAnsi" w:hAnsi="Arial" w:cs="Arial"/>
          <w:lang w:eastAsia="en-US"/>
        </w:rPr>
        <w:t>Корректное идентификации образца должна быть проверена. Она должна включать в себя клиническую информацию (</w:t>
      </w:r>
      <w:hyperlink w:anchor="_bookmark12" w:history="1">
        <w:r>
          <w:rPr>
            <w:rStyle w:val="afa"/>
            <w:rFonts w:ascii="Arial" w:eastAsiaTheme="minorHAnsi" w:hAnsi="Arial" w:cs="Arial"/>
            <w:color w:val="auto"/>
            <w:lang w:eastAsia="en-US" w:bidi="en-US"/>
          </w:rPr>
          <w:t xml:space="preserve">5.1.1 </w:t>
        </w:r>
      </w:hyperlink>
      <w:r>
        <w:rPr>
          <w:rFonts w:ascii="Arial" w:eastAsiaTheme="minorHAnsi" w:hAnsi="Arial" w:cs="Arial"/>
          <w:lang w:eastAsia="en-US"/>
        </w:rPr>
        <w:t xml:space="preserve">и </w:t>
      </w:r>
      <w:hyperlink w:anchor="_bookmark14" w:history="1">
        <w:r>
          <w:rPr>
            <w:rStyle w:val="afa"/>
            <w:rFonts w:ascii="Arial" w:eastAsiaTheme="minorHAnsi" w:hAnsi="Arial" w:cs="Arial"/>
            <w:color w:val="auto"/>
            <w:lang w:eastAsia="en-US" w:bidi="en-US"/>
          </w:rPr>
          <w:t>5.1.3</w:t>
        </w:r>
      </w:hyperlink>
      <w:r>
        <w:rPr>
          <w:rFonts w:ascii="Arial" w:eastAsiaTheme="minorHAnsi" w:hAnsi="Arial" w:cs="Arial"/>
          <w:lang w:eastAsia="en-US" w:bidi="en-US"/>
        </w:rPr>
        <w:t>)</w:t>
      </w:r>
      <w:r>
        <w:rPr>
          <w:rFonts w:ascii="Arial" w:eastAsiaTheme="minorHAnsi" w:hAnsi="Arial" w:cs="Arial"/>
          <w:lang w:eastAsia="en-US"/>
        </w:rPr>
        <w:t xml:space="preserve"> образца</w:t>
      </w:r>
      <w:proofErr w:type="gramStart"/>
      <w:r>
        <w:rPr>
          <w:rFonts w:ascii="Arial" w:eastAsiaTheme="minorHAnsi" w:hAnsi="Arial" w:cs="Arial"/>
          <w:lang w:eastAsia="en-US"/>
        </w:rPr>
        <w:t xml:space="preserve"> ,</w:t>
      </w:r>
      <w:proofErr w:type="gramEnd"/>
      <w:r>
        <w:rPr>
          <w:rFonts w:ascii="Arial" w:eastAsiaTheme="minorHAnsi" w:hAnsi="Arial" w:cs="Arial"/>
          <w:lang w:eastAsia="en-US"/>
        </w:rPr>
        <w:t xml:space="preserve"> номер госпитализации и/или индентикафиционный номер донора/пациента</w:t>
      </w:r>
      <w:r>
        <w:rPr>
          <w:rFonts w:ascii="Arial" w:eastAsiaTheme="minorHAnsi" w:hAnsi="Arial" w:cs="Arial"/>
          <w:lang w:eastAsia="en-US" w:bidi="en-US"/>
        </w:rPr>
        <w:t>, имя пациента, дату рождения пациента.</w:t>
      </w:r>
      <w:r>
        <w:rPr>
          <w:rFonts w:ascii="Arial" w:eastAsiaTheme="minorHAnsi" w:hAnsi="Arial" w:cs="Arial"/>
          <w:lang w:eastAsia="en-US"/>
        </w:rPr>
        <w:t xml:space="preserve"> </w:t>
      </w:r>
    </w:p>
    <w:p w:rsidR="000E6FD9" w:rsidRDefault="00233458" w:rsidP="004507E3">
      <w:pPr>
        <w:pStyle w:val="2"/>
        <w:tabs>
          <w:tab w:val="left" w:pos="1134"/>
        </w:tabs>
        <w:spacing w:before="120" w:after="120" w:line="360" w:lineRule="auto"/>
        <w:ind w:firstLine="567"/>
        <w:rPr>
          <w:rFonts w:ascii="Arial" w:hAnsi="Arial" w:cs="Arial"/>
          <w:b/>
          <w:color w:val="auto"/>
          <w:lang w:eastAsia="en-US"/>
        </w:rPr>
      </w:pPr>
      <w:bookmarkStart w:id="22" w:name="_Toc40995893"/>
      <w:r>
        <w:rPr>
          <w:rFonts w:ascii="Arial" w:hAnsi="Arial" w:cs="Arial"/>
          <w:b/>
          <w:color w:val="auto"/>
          <w:lang w:eastAsia="en-US"/>
        </w:rPr>
        <w:t>6.2</w:t>
      </w:r>
      <w:r>
        <w:rPr>
          <w:rFonts w:ascii="Arial" w:hAnsi="Arial" w:cs="Arial"/>
          <w:b/>
          <w:color w:val="auto"/>
          <w:lang w:eastAsia="en-US"/>
        </w:rPr>
        <w:tab/>
        <w:t>Фиксация образца или пробы (проб) в формалине</w:t>
      </w:r>
      <w:bookmarkEnd w:id="22"/>
    </w:p>
    <w:p w:rsidR="000E6FD9" w:rsidRDefault="00233458" w:rsidP="00A53C26">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Эта процедура применима к образцу, и в случае, если одна и несколько или несколько частей взяты из образца, к полученное пробе(пробам).</w:t>
      </w:r>
    </w:p>
    <w:p w:rsidR="000E6FD9" w:rsidRDefault="00233458" w:rsidP="00A53C26">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В качестве фиксаторы используются стандартные буферной раствор формалина.</w:t>
      </w:r>
    </w:p>
    <w:p w:rsidR="000E6FD9" w:rsidRDefault="00233458" w:rsidP="00A53C26">
      <w:pPr>
        <w:spacing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Примечание </w:t>
      </w:r>
      <w:r>
        <w:rPr>
          <w:rFonts w:ascii="Arial" w:eastAsiaTheme="minorHAnsi" w:hAnsi="Arial" w:cs="Arial"/>
          <w:sz w:val="20"/>
          <w:szCs w:val="20"/>
          <w:lang w:eastAsia="en-US"/>
        </w:rPr>
        <w:sym w:font="Symbol" w:char="F02D"/>
      </w:r>
      <w:r>
        <w:rPr>
          <w:rFonts w:ascii="Arial" w:eastAsiaTheme="minorHAnsi" w:hAnsi="Arial" w:cs="Arial"/>
          <w:sz w:val="20"/>
          <w:szCs w:val="20"/>
          <w:lang w:eastAsia="en-US"/>
        </w:rPr>
        <w:t xml:space="preserve"> В некоторых странах стандартный буферный раствор формалина называют нейтральным буферным формалином (NBF).</w:t>
      </w:r>
    </w:p>
    <w:p w:rsidR="000E6FD9" w:rsidRDefault="00233458" w:rsidP="00A53C26">
      <w:pPr>
        <w:spacing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lastRenderedPageBreak/>
        <w:t>Примечание 2</w:t>
      </w:r>
      <w:r>
        <w:rPr>
          <w:rFonts w:ascii="Arial" w:eastAsiaTheme="minorHAnsi" w:hAnsi="Arial" w:cs="Arial"/>
          <w:sz w:val="20"/>
          <w:szCs w:val="20"/>
          <w:lang w:eastAsia="en-US"/>
        </w:rPr>
        <w:tab/>
      </w:r>
      <w:r>
        <w:rPr>
          <w:rFonts w:ascii="Arial" w:eastAsiaTheme="minorHAnsi" w:hAnsi="Arial" w:cs="Arial"/>
          <w:sz w:val="20"/>
          <w:szCs w:val="20"/>
          <w:lang w:eastAsia="en-US"/>
        </w:rPr>
        <w:sym w:font="Symbol" w:char="F02D"/>
      </w:r>
      <w:r>
        <w:rPr>
          <w:rFonts w:ascii="Arial" w:eastAsiaTheme="minorHAnsi" w:hAnsi="Arial" w:cs="Arial"/>
          <w:sz w:val="20"/>
          <w:szCs w:val="20"/>
          <w:lang w:eastAsia="en-US"/>
        </w:rPr>
        <w:t xml:space="preserve"> Есть данные, что выход некоторых белков, по исследованию Вестема, должен быть увеличен ультразвуком опосредованным ускорением фиксации ткани.</w:t>
      </w:r>
    </w:p>
    <w:p w:rsidR="000E6FD9" w:rsidRDefault="00233458" w:rsidP="00A53C26">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Значение рН стандартного буферного раствора формалина следует проверять не реже одного раза в неделю и перед использованием или с каждой новой порцией, так как формалин не является стабильным (например, формальдегид имеет тенденцию к окислению до муравьиной кислоты) [</w:t>
      </w:r>
      <w:r>
        <w:rPr>
          <w:rFonts w:ascii="Arial" w:eastAsiaTheme="minorHAnsi" w:hAnsi="Arial" w:cs="Arial"/>
          <w:u w:val="single"/>
          <w:lang w:eastAsia="en-US"/>
        </w:rPr>
        <w:t>16</w:t>
      </w:r>
      <w:r>
        <w:rPr>
          <w:rFonts w:ascii="Arial" w:eastAsiaTheme="minorHAnsi" w:hAnsi="Arial" w:cs="Arial"/>
          <w:lang w:eastAsia="en-US"/>
        </w:rPr>
        <w:t>].</w:t>
      </w:r>
    </w:p>
    <w:p w:rsidR="000E6FD9" w:rsidRDefault="00233458" w:rsidP="00A53C26">
      <w:pPr>
        <w:spacing w:before="120" w:after="120" w:line="360" w:lineRule="auto"/>
        <w:ind w:left="719" w:firstLine="567"/>
        <w:jc w:val="both"/>
        <w:rPr>
          <w:rFonts w:ascii="Arial" w:eastAsiaTheme="minorHAnsi" w:hAnsi="Arial" w:cs="Arial"/>
          <w:lang w:eastAsia="en-US"/>
        </w:rPr>
      </w:pPr>
      <w:r>
        <w:rPr>
          <w:rFonts w:ascii="Arial" w:eastAsiaTheme="minorHAnsi" w:hAnsi="Arial" w:cs="Arial"/>
          <w:lang w:eastAsia="en-US"/>
        </w:rPr>
        <w:t>Необходимо выполнить следующие действия:</w:t>
      </w:r>
    </w:p>
    <w:p w:rsidR="000E6FD9" w:rsidRDefault="00233458" w:rsidP="004507E3">
      <w:pPr>
        <w:numPr>
          <w:ilvl w:val="0"/>
          <w:numId w:val="6"/>
        </w:numPr>
        <w:tabs>
          <w:tab w:val="left" w:pos="993"/>
        </w:tabs>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t>консультация изготовителя с паспортом безопасности (SDS) перед обращением со стандартным буферным раствором формалина;</w:t>
      </w:r>
    </w:p>
    <w:p w:rsidR="000E6FD9" w:rsidRDefault="00233458" w:rsidP="004507E3">
      <w:pPr>
        <w:tabs>
          <w:tab w:val="left" w:pos="993"/>
        </w:tabs>
        <w:spacing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Примечание </w:t>
      </w:r>
      <w:r>
        <w:rPr>
          <w:rFonts w:ascii="Arial" w:eastAsiaTheme="minorHAnsi" w:hAnsi="Arial" w:cs="Arial"/>
          <w:sz w:val="20"/>
          <w:szCs w:val="20"/>
          <w:lang w:eastAsia="en-US"/>
        </w:rPr>
        <w:sym w:font="Symbol" w:char="F02D"/>
      </w:r>
      <w:r>
        <w:rPr>
          <w:rFonts w:ascii="Arial" w:eastAsiaTheme="minorHAnsi" w:hAnsi="Arial" w:cs="Arial"/>
          <w:sz w:val="20"/>
          <w:szCs w:val="20"/>
          <w:lang w:eastAsia="en-US"/>
        </w:rPr>
        <w:t xml:space="preserve"> Формальдегид является канцерогенным и опасным соединением, которое проникает в ткани и химически модифицирует биомолекулы. Однако существуют потенциально различные локальные классификации.</w:t>
      </w:r>
    </w:p>
    <w:p w:rsidR="000E6FD9" w:rsidRDefault="00233458" w:rsidP="004507E3">
      <w:pPr>
        <w:numPr>
          <w:ilvl w:val="0"/>
          <w:numId w:val="6"/>
        </w:numPr>
        <w:tabs>
          <w:tab w:val="left" w:pos="993"/>
        </w:tabs>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t>документирование момента времени помещения образца ткани или пробы стандартный буферный раствор формалина;</w:t>
      </w:r>
    </w:p>
    <w:p w:rsidR="000E6FD9" w:rsidRDefault="00233458" w:rsidP="004507E3">
      <w:pPr>
        <w:tabs>
          <w:tab w:val="left" w:pos="993"/>
        </w:tabs>
        <w:spacing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Пимечание </w:t>
      </w:r>
      <w:r>
        <w:rPr>
          <w:rFonts w:ascii="Arial" w:eastAsiaTheme="minorHAnsi" w:hAnsi="Arial" w:cs="Arial"/>
          <w:sz w:val="20"/>
          <w:szCs w:val="20"/>
          <w:lang w:eastAsia="en-US"/>
        </w:rPr>
        <w:sym w:font="Symbol" w:char="F02D"/>
      </w:r>
      <w:r>
        <w:rPr>
          <w:rFonts w:ascii="Arial" w:eastAsiaTheme="minorHAnsi" w:hAnsi="Arial" w:cs="Arial"/>
          <w:sz w:val="20"/>
          <w:szCs w:val="20"/>
          <w:lang w:eastAsia="en-US"/>
        </w:rPr>
        <w:t xml:space="preserve"> Общая продолжительность фиксации формалина может оказать влияние на дальнейшие иммуногистохимические методы, молекулярные исследования на основе нуклеиновых кислот. Оптимальная продолжительность фиксации формалином может варьироваться в зависимости от типа и размера ткани. Для более крупных образцов, например, резецированного желудка, неравномерная фиксация может произойти до начала процесса макроскопического исследования по причине медленного проникновения формальдегида с поверхности ткани внутрь. Формалиновая фиксация в течение более чем 24 часов может привести к интенсивности сшивания, которая может повлиять на исследовательский тест белка. Было показано, что выход белка снижается с увеличением положительности фиксации.</w:t>
      </w:r>
    </w:p>
    <w:p w:rsidR="000E6FD9" w:rsidRDefault="00233458" w:rsidP="004507E3">
      <w:pPr>
        <w:tabs>
          <w:tab w:val="left" w:pos="993"/>
        </w:tabs>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 xml:space="preserve">ПРИМЕР Для кусочков ткани толщиной 5 мм продолжительность фиксации составляет от 12 до 24 часов в большинстве случаев целесообразно надлежащее проникновение и фиксация. См. также </w:t>
      </w:r>
      <w:r>
        <w:rPr>
          <w:rFonts w:ascii="Arial" w:eastAsiaTheme="minorHAnsi" w:hAnsi="Arial" w:cs="Arial"/>
          <w:u w:val="single"/>
          <w:lang w:eastAsia="en-US"/>
        </w:rPr>
        <w:t>6.7.2</w:t>
      </w:r>
      <w:r>
        <w:rPr>
          <w:rFonts w:ascii="Arial" w:eastAsiaTheme="minorHAnsi" w:hAnsi="Arial" w:cs="Arial"/>
          <w:lang w:eastAsia="en-US"/>
        </w:rPr>
        <w:t>.</w:t>
      </w:r>
    </w:p>
    <w:p w:rsidR="000E6FD9" w:rsidRDefault="00233458" w:rsidP="004507E3">
      <w:pPr>
        <w:numPr>
          <w:ilvl w:val="0"/>
          <w:numId w:val="6"/>
        </w:numPr>
        <w:tabs>
          <w:tab w:val="left" w:pos="993"/>
        </w:tabs>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t>выбор контейнера(ов):</w:t>
      </w:r>
    </w:p>
    <w:p w:rsidR="000E6FD9" w:rsidRDefault="00233458" w:rsidP="004507E3">
      <w:pPr>
        <w:pStyle w:val="16"/>
        <w:numPr>
          <w:ilvl w:val="0"/>
          <w:numId w:val="7"/>
        </w:numPr>
        <w:spacing w:line="360" w:lineRule="auto"/>
        <w:ind w:left="1418" w:hanging="425"/>
        <w:jc w:val="both"/>
        <w:rPr>
          <w:rFonts w:ascii="Arial" w:eastAsiaTheme="minorHAnsi" w:hAnsi="Arial" w:cs="Arial"/>
          <w:lang w:eastAsia="en-US"/>
        </w:rPr>
      </w:pPr>
      <w:r>
        <w:rPr>
          <w:rFonts w:ascii="Arial" w:eastAsiaTheme="minorHAnsi" w:hAnsi="Arial" w:cs="Arial"/>
          <w:lang w:eastAsia="en-US"/>
        </w:rPr>
        <w:t xml:space="preserve">вместительность контейнера должна быть такой, чтобы образец можно было полностью погрузить в стандартный буферный раствор формалина. Минимальное стандартное отношение буферного раствора формалина к ткани зависит от рассматриваемой ткани, но </w:t>
      </w:r>
      <w:r>
        <w:rPr>
          <w:rFonts w:ascii="Arial" w:eastAsiaTheme="minorHAnsi" w:hAnsi="Arial" w:cs="Arial"/>
          <w:lang w:eastAsia="en-US"/>
        </w:rPr>
        <w:lastRenderedPageBreak/>
        <w:t>должно быть не менее 10:1 (объем к объему). Для обеспечения полной формалиновой фиксации более крупных образцов следует выполнить специальную обработку тканей, такую как разрез (разрезы) цельных органов или открытие полных органов.</w:t>
      </w:r>
    </w:p>
    <w:p w:rsidR="000E6FD9" w:rsidRDefault="00233458" w:rsidP="004507E3">
      <w:pPr>
        <w:spacing w:line="360" w:lineRule="auto"/>
        <w:ind w:left="1418"/>
        <w:jc w:val="both"/>
        <w:rPr>
          <w:rFonts w:ascii="Arial" w:eastAsiaTheme="minorHAnsi" w:hAnsi="Arial" w:cs="Arial"/>
          <w:lang w:eastAsia="en-US"/>
        </w:rPr>
      </w:pPr>
      <w:r>
        <w:rPr>
          <w:rFonts w:ascii="Arial" w:eastAsiaTheme="minorHAnsi" w:hAnsi="Arial" w:cs="Arial"/>
          <w:lang w:eastAsia="en-US"/>
        </w:rPr>
        <w:t>Более крупные образцы, возможно, потребуется разделить пополам и выбрать соответствующие части для надлежащего проникновения фиксатора. В этом случае стандартный буферной раствор должен периодически меняться.</w:t>
      </w:r>
    </w:p>
    <w:p w:rsidR="000E6FD9" w:rsidRDefault="00233458" w:rsidP="004507E3">
      <w:pPr>
        <w:pStyle w:val="16"/>
        <w:numPr>
          <w:ilvl w:val="0"/>
          <w:numId w:val="7"/>
        </w:numPr>
        <w:spacing w:line="360" w:lineRule="auto"/>
        <w:ind w:left="1418" w:hanging="425"/>
        <w:jc w:val="both"/>
        <w:rPr>
          <w:rFonts w:ascii="Arial" w:eastAsiaTheme="minorHAnsi" w:hAnsi="Arial" w:cs="Arial"/>
          <w:lang w:eastAsia="en-US"/>
        </w:rPr>
      </w:pPr>
      <w:r>
        <w:rPr>
          <w:rFonts w:ascii="Arial" w:eastAsiaTheme="minorHAnsi" w:hAnsi="Arial" w:cs="Arial"/>
          <w:lang w:eastAsia="en-US"/>
        </w:rPr>
        <w:t>при использовании контейнеров, предварительно заполненных стандартным буферным формалином, необходимо соблюдать инструкцию к продукту от поставщика;</w:t>
      </w:r>
    </w:p>
    <w:p w:rsidR="000E6FD9" w:rsidRDefault="00233458" w:rsidP="004507E3">
      <w:pPr>
        <w:pStyle w:val="16"/>
        <w:numPr>
          <w:ilvl w:val="0"/>
          <w:numId w:val="7"/>
        </w:numPr>
        <w:spacing w:before="120" w:after="120" w:line="360" w:lineRule="auto"/>
        <w:ind w:left="1418" w:hanging="425"/>
        <w:jc w:val="both"/>
        <w:rPr>
          <w:rFonts w:ascii="Arial" w:eastAsiaTheme="minorHAnsi" w:hAnsi="Arial" w:cs="Arial"/>
          <w:lang w:eastAsia="en-US"/>
        </w:rPr>
      </w:pPr>
      <w:r>
        <w:rPr>
          <w:rFonts w:ascii="Arial" w:eastAsiaTheme="minorHAnsi" w:hAnsi="Arial" w:cs="Arial"/>
          <w:lang w:eastAsia="en-US"/>
        </w:rPr>
        <w:t>контейнер должен быть надёжно закрываем;</w:t>
      </w:r>
    </w:p>
    <w:p w:rsidR="000E6FD9" w:rsidRDefault="00233458" w:rsidP="004507E3">
      <w:pPr>
        <w:numPr>
          <w:ilvl w:val="0"/>
          <w:numId w:val="6"/>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 xml:space="preserve">маркировка контейнера (например, с использованием самоклеющихся этикеток, рукописного текста, радиочастотных идентификационных устройств (RFID), предварительно маркированных контейнеров, штрихкодов) должна обеспечивать надлежащую просматриваемость образцов и проб. Таким образом, маркировка контейнера должна содержать минимальную информацию: </w:t>
      </w:r>
    </w:p>
    <w:p w:rsidR="000E6FD9" w:rsidRDefault="00233458" w:rsidP="004507E3">
      <w:pPr>
        <w:pStyle w:val="16"/>
        <w:numPr>
          <w:ilvl w:val="0"/>
          <w:numId w:val="15"/>
        </w:numPr>
        <w:spacing w:before="120" w:after="120" w:line="360" w:lineRule="auto"/>
        <w:ind w:left="1418" w:hanging="425"/>
        <w:jc w:val="both"/>
        <w:rPr>
          <w:rFonts w:ascii="Arial" w:eastAsiaTheme="minorHAnsi" w:hAnsi="Arial" w:cs="Arial"/>
          <w:lang w:eastAsia="en-US"/>
        </w:rPr>
      </w:pPr>
      <w:r>
        <w:rPr>
          <w:rFonts w:ascii="Arial" w:eastAsiaTheme="minorHAnsi" w:hAnsi="Arial" w:cs="Arial"/>
          <w:lang w:eastAsia="en-US"/>
        </w:rPr>
        <w:t>идентификация пациента/донора, уникальный идентификатор образца/пробы и дату, когда проба была взята, каждый из которых может быть представлен в виде кода (уникальный для каждого образца);</w:t>
      </w:r>
    </w:p>
    <w:p w:rsidR="000E6FD9" w:rsidRDefault="00233458" w:rsidP="004507E3">
      <w:pPr>
        <w:pStyle w:val="16"/>
        <w:numPr>
          <w:ilvl w:val="0"/>
          <w:numId w:val="15"/>
        </w:numPr>
        <w:spacing w:line="360" w:lineRule="auto"/>
        <w:ind w:left="1418" w:hanging="425"/>
        <w:jc w:val="both"/>
        <w:rPr>
          <w:rFonts w:ascii="Arial" w:eastAsiaTheme="minorHAnsi" w:hAnsi="Arial" w:cs="Arial"/>
          <w:lang w:eastAsia="en-US"/>
        </w:rPr>
      </w:pPr>
      <w:r>
        <w:rPr>
          <w:rFonts w:ascii="Arial" w:eastAsiaTheme="minorHAnsi" w:hAnsi="Arial" w:cs="Arial"/>
          <w:lang w:eastAsia="en-US"/>
        </w:rPr>
        <w:t xml:space="preserve">основная информация об образце, например тип ткани, состояние ткани и связанная с этим дополнительно информация, такая как пораженная (например, опухоль) или незатронутая, если только система отслеживания не может предоставить эту информацию в сочетание с идентификацией образца или пробы, использованой в пункте </w:t>
      </w:r>
      <w:r>
        <w:rPr>
          <w:rFonts w:ascii="Arial" w:eastAsiaTheme="minorHAnsi" w:hAnsi="Arial" w:cs="Arial"/>
          <w:u w:val="single"/>
          <w:lang w:eastAsia="en-US"/>
        </w:rPr>
        <w:t>6.2</w:t>
      </w:r>
      <w:r>
        <w:rPr>
          <w:rFonts w:ascii="Arial" w:eastAsiaTheme="minorHAnsi" w:hAnsi="Arial" w:cs="Arial"/>
          <w:lang w:eastAsia="en-US"/>
        </w:rPr>
        <w:t xml:space="preserve"> d) 1);</w:t>
      </w:r>
    </w:p>
    <w:p w:rsidR="000E6FD9" w:rsidRDefault="00233458" w:rsidP="004507E3">
      <w:pPr>
        <w:pStyle w:val="16"/>
        <w:numPr>
          <w:ilvl w:val="0"/>
          <w:numId w:val="15"/>
        </w:numPr>
        <w:spacing w:line="360" w:lineRule="auto"/>
        <w:ind w:left="1418" w:hanging="425"/>
        <w:jc w:val="both"/>
        <w:rPr>
          <w:rFonts w:ascii="Arial" w:eastAsiaTheme="minorHAnsi" w:hAnsi="Arial" w:cs="Arial"/>
          <w:lang w:eastAsia="en-US"/>
        </w:rPr>
      </w:pPr>
      <w:r>
        <w:rPr>
          <w:rFonts w:ascii="Arial" w:eastAsiaTheme="minorHAnsi" w:hAnsi="Arial" w:cs="Arial"/>
          <w:lang w:eastAsia="en-US"/>
        </w:rPr>
        <w:t xml:space="preserve">уникальная нумерация каждого контейнера, которая может быть включена в пункт </w:t>
      </w:r>
      <w:r>
        <w:rPr>
          <w:rFonts w:ascii="Arial" w:eastAsiaTheme="minorHAnsi" w:hAnsi="Arial" w:cs="Arial"/>
          <w:u w:val="single"/>
          <w:lang w:eastAsia="en-US"/>
        </w:rPr>
        <w:t>6.2</w:t>
      </w:r>
      <w:r>
        <w:rPr>
          <w:rFonts w:ascii="Arial" w:eastAsiaTheme="minorHAnsi" w:hAnsi="Arial" w:cs="Arial"/>
          <w:lang w:eastAsia="en-US"/>
        </w:rPr>
        <w:t xml:space="preserve"> d) 1);</w:t>
      </w:r>
    </w:p>
    <w:p w:rsidR="000E6FD9" w:rsidRDefault="00233458" w:rsidP="004507E3">
      <w:pPr>
        <w:pStyle w:val="16"/>
        <w:numPr>
          <w:ilvl w:val="0"/>
          <w:numId w:val="6"/>
        </w:numPr>
        <w:tabs>
          <w:tab w:val="left" w:pos="993"/>
        </w:tabs>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t>документация о типах, количестве и описании образцов или проб/</w:t>
      </w:r>
    </w:p>
    <w:p w:rsidR="000E6FD9" w:rsidRDefault="00233458" w:rsidP="00A53C26">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lang w:eastAsia="en-US"/>
        </w:rPr>
        <w:lastRenderedPageBreak/>
        <w:t xml:space="preserve"> Следует учитывать, что при некоторых патологических состояниях, такие как опухоли, молекулярные признаки могут не присутствовать гомогенно в образце ткани или пробе. Поэтому важно, чтобы часть фактического образца тканей или пробы, используемого для молекулярного исследования, была оценена квалифицированным медиком (например, сертифицированным) патологом (см. </w:t>
      </w:r>
      <w:hyperlink w:anchor="_bookmark22" w:history="1">
        <w:r>
          <w:rPr>
            <w:rStyle w:val="afa"/>
            <w:rFonts w:ascii="Arial" w:eastAsiaTheme="minorHAnsi" w:hAnsi="Arial" w:cs="Arial"/>
            <w:color w:val="auto"/>
            <w:lang w:eastAsia="en-US" w:bidi="en-US"/>
          </w:rPr>
          <w:t>6.3</w:t>
        </w:r>
      </w:hyperlink>
      <w:r>
        <w:rPr>
          <w:rFonts w:ascii="Arial" w:eastAsiaTheme="minorHAnsi" w:hAnsi="Arial" w:cs="Arial"/>
          <w:lang w:eastAsia="en-US" w:bidi="en-US"/>
        </w:rPr>
        <w:t xml:space="preserve">). </w:t>
      </w:r>
      <w:r>
        <w:rPr>
          <w:rFonts w:ascii="Arial" w:eastAsiaTheme="minorHAnsi" w:hAnsi="Arial" w:cs="Arial"/>
          <w:lang w:eastAsia="en-US"/>
        </w:rPr>
        <w:t>В данной ситуации следует задокументировать, какие особенности заболевания на самом деле отражены в образце ткани или пробе, используемым для молекулярного исследования (например, разные молекулярные механизмы могут быть активированы в центре и в передней части проникновения опухоли, а также опухоли могут состоять из областей, демонстрирующих различные степени дифференцировки)</w:t>
      </w:r>
      <w:r>
        <w:rPr>
          <w:rFonts w:ascii="Arial" w:eastAsiaTheme="minorHAnsi" w:hAnsi="Arial" w:cs="Arial"/>
          <w:sz w:val="20"/>
          <w:szCs w:val="20"/>
          <w:lang w:eastAsia="en-US"/>
        </w:rPr>
        <w:t>.</w:t>
      </w:r>
    </w:p>
    <w:p w:rsidR="000E6FD9" w:rsidRDefault="00233458" w:rsidP="00AC7E58">
      <w:pPr>
        <w:pStyle w:val="2"/>
        <w:tabs>
          <w:tab w:val="left" w:pos="1134"/>
        </w:tabs>
        <w:spacing w:before="120" w:after="120" w:line="360" w:lineRule="auto"/>
        <w:ind w:firstLine="567"/>
        <w:rPr>
          <w:rFonts w:ascii="Arial" w:hAnsi="Arial" w:cs="Arial"/>
          <w:b/>
          <w:color w:val="auto"/>
          <w:lang w:eastAsia="en-US"/>
        </w:rPr>
      </w:pPr>
      <w:bookmarkStart w:id="23" w:name="_Toc40995894"/>
      <w:r>
        <w:rPr>
          <w:rFonts w:ascii="Arial" w:hAnsi="Arial" w:cs="Arial"/>
          <w:b/>
          <w:color w:val="auto"/>
          <w:lang w:eastAsia="en-US"/>
        </w:rPr>
        <w:t>6.3</w:t>
      </w:r>
      <w:r>
        <w:rPr>
          <w:rFonts w:ascii="Arial" w:hAnsi="Arial" w:cs="Arial"/>
          <w:b/>
          <w:color w:val="auto"/>
          <w:lang w:eastAsia="en-US"/>
        </w:rPr>
        <w:tab/>
        <w:t>Оценка патологии образца и отбор пробы (проб)</w:t>
      </w:r>
      <w:bookmarkEnd w:id="23"/>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Оценка и документирование патологии образца и отбор пробы (проб) из образца для дальнейшей обработки должна осуществляться под наблюдением или под ответственностью квалифицированного медика (например, сертифицированного) патолога.</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Могут применяться местные, национальные или региональные нормативы. </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Варианты выбора образца(ов) для исследования белка</w:t>
      </w:r>
    </w:p>
    <w:p w:rsidR="000E6FD9" w:rsidRDefault="00233458" w:rsidP="00AC7E58">
      <w:pPr>
        <w:pStyle w:val="16"/>
        <w:numPr>
          <w:ilvl w:val="0"/>
          <w:numId w:val="8"/>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Отбор подходящих частей образца для гистопатологических и молекулярных исследований, а также для дальнейших исследовательских целей должен осуществляться или под контролем квалифицированного медика (например, сертифицированного) патолога для обеспечения того, чтобы сбор пробы(проб)для исследования белка не ставил под угрозу гистопатологическое исследование. Для молекулярного исследования следует выбирать подходящие части ткани, в то время по возможности следует избегать частей, потенциально ставящих под угрозу молекулярное исследование, таких как кровоточащие и некротические части. (Микро) рассечение должно рассматриваться как отбор или дополнение для определения определённых клеточных особенностей заболевания.</w:t>
      </w:r>
    </w:p>
    <w:p w:rsidR="000E6FD9" w:rsidRDefault="00233458" w:rsidP="00AC7E58">
      <w:pPr>
        <w:spacing w:before="120" w:line="360" w:lineRule="auto"/>
        <w:ind w:right="-2" w:firstLine="567"/>
        <w:jc w:val="both"/>
        <w:rPr>
          <w:rFonts w:ascii="Arial" w:hAnsi="Arial" w:cs="Arial"/>
          <w:sz w:val="20"/>
          <w:szCs w:val="20"/>
        </w:rPr>
      </w:pPr>
      <w:r>
        <w:rPr>
          <w:rFonts w:ascii="Arial" w:hAnsi="Arial" w:cs="Arial"/>
          <w:sz w:val="20"/>
          <w:szCs w:val="20"/>
        </w:rPr>
        <w:lastRenderedPageBreak/>
        <w:t xml:space="preserve">ПРИМЕЧАНИЕ 1 </w:t>
      </w:r>
      <w:r w:rsidR="00AC7E58">
        <w:rPr>
          <w:rFonts w:ascii="Arial" w:hAnsi="Arial" w:cs="Arial"/>
          <w:sz w:val="20"/>
          <w:szCs w:val="20"/>
        </w:rPr>
        <w:t>–</w:t>
      </w:r>
      <w:r>
        <w:rPr>
          <w:rFonts w:ascii="Arial" w:hAnsi="Arial" w:cs="Arial"/>
          <w:sz w:val="20"/>
          <w:szCs w:val="20"/>
        </w:rPr>
        <w:t xml:space="preserve"> В зависимости от локальных процедур выбор соответствующих частей образца также может производиться вне лаборатории, например, в операционной  (см. пункт</w:t>
      </w:r>
      <w:r>
        <w:rPr>
          <w:rFonts w:ascii="Arial" w:hAnsi="Arial" w:cs="Arial"/>
          <w:spacing w:val="-4"/>
          <w:sz w:val="20"/>
          <w:szCs w:val="20"/>
        </w:rPr>
        <w:t xml:space="preserve"> </w:t>
      </w:r>
      <w:hyperlink w:anchor="_bookmark14" w:history="1">
        <w:r>
          <w:rPr>
            <w:rFonts w:ascii="Arial" w:hAnsi="Arial" w:cs="Arial"/>
            <w:sz w:val="20"/>
            <w:szCs w:val="20"/>
            <w:u w:val="single" w:color="053BF5"/>
          </w:rPr>
          <w:t>5.1.3</w:t>
        </w:r>
      </w:hyperlink>
      <w:r>
        <w:rPr>
          <w:rFonts w:ascii="Arial" w:hAnsi="Arial" w:cs="Arial"/>
          <w:sz w:val="20"/>
          <w:szCs w:val="20"/>
        </w:rPr>
        <w:t>).</w:t>
      </w:r>
    </w:p>
    <w:p w:rsidR="000E6FD9" w:rsidRDefault="00233458" w:rsidP="00AC7E58">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 xml:space="preserve">В рамках макроскопической оценки хирургического образца до и/или после фиксации формалином, клинической информации (см. </w:t>
      </w:r>
      <w:hyperlink w:anchor="_bookmark13" w:history="1">
        <w:r>
          <w:rPr>
            <w:rStyle w:val="afa"/>
            <w:rFonts w:ascii="Arial" w:eastAsiaTheme="minorHAnsi" w:hAnsi="Arial" w:cs="Arial"/>
            <w:color w:val="auto"/>
            <w:lang w:eastAsia="en-US" w:bidi="en-US"/>
          </w:rPr>
          <w:t>5.1.2</w:t>
        </w:r>
      </w:hyperlink>
      <w:r>
        <w:rPr>
          <w:rFonts w:ascii="Arial" w:eastAsiaTheme="minorHAnsi" w:hAnsi="Arial" w:cs="Arial"/>
          <w:lang w:eastAsia="en-US" w:bidi="en-US"/>
        </w:rPr>
        <w:t xml:space="preserve"> </w:t>
      </w:r>
      <w:r>
        <w:rPr>
          <w:rFonts w:ascii="Arial" w:eastAsiaTheme="minorHAnsi" w:hAnsi="Arial" w:cs="Arial"/>
          <w:lang w:eastAsia="en-US"/>
        </w:rPr>
        <w:t xml:space="preserve">и </w:t>
      </w:r>
      <w:hyperlink w:anchor="_bookmark14" w:history="1">
        <w:r>
          <w:rPr>
            <w:rStyle w:val="afa"/>
            <w:rFonts w:ascii="Arial" w:eastAsiaTheme="minorHAnsi" w:hAnsi="Arial" w:cs="Arial"/>
            <w:color w:val="auto"/>
            <w:lang w:eastAsia="en-US" w:bidi="en-US"/>
          </w:rPr>
          <w:t>5.1.3</w:t>
        </w:r>
      </w:hyperlink>
      <w:r>
        <w:rPr>
          <w:rFonts w:ascii="Arial" w:eastAsiaTheme="minorHAnsi" w:hAnsi="Arial" w:cs="Arial"/>
          <w:lang w:eastAsia="en-US" w:bidi="en-US"/>
        </w:rPr>
        <w:t xml:space="preserve">) </w:t>
      </w:r>
      <w:r>
        <w:rPr>
          <w:rFonts w:ascii="Arial" w:eastAsiaTheme="minorHAnsi" w:hAnsi="Arial" w:cs="Arial"/>
          <w:lang w:eastAsia="en-US"/>
        </w:rPr>
        <w:t xml:space="preserve"> образца (например, тип, размер, количество), номер госпитализации и/или номер случая и/или идентификация донора/пациента, имя пациента, дата рождения пациента и тип ткани должны быть проверены</w:t>
      </w:r>
      <w:r>
        <w:rPr>
          <w:rFonts w:ascii="Arial" w:eastAsiaTheme="minorHAnsi" w:hAnsi="Arial" w:cs="Arial"/>
          <w:lang w:eastAsia="en-US" w:bidi="en-US"/>
        </w:rPr>
        <w:t>.</w:t>
      </w:r>
      <w:r>
        <w:rPr>
          <w:rFonts w:ascii="Arial" w:eastAsiaTheme="minorHAnsi" w:hAnsi="Arial" w:cs="Arial"/>
          <w:lang w:eastAsia="en-US"/>
        </w:rPr>
        <w:t xml:space="preserve"> Хирургический образец и все полученные результаты должны быть описаны надлежащим образом в соответствии с директивами соответствующих медицинских сообществ, например, сообществ патологии, и в соответствии с клинической информацией и вопросами, например, запись о пациенте или запрос клинициста. Должна быть описана анатомическая локализация, представленная в образце, отмечены края резекции и другие важные области, если это необходимо и полезно для последующей микроскопическое оценки; могут быть сделаны фотографии. Репрезентативные образцы для микроскопической оценки должны быть взяты (т.е. макроскопическое исследование ) в соответствии с директивными принципами по конкретным органам/заболеваниям от соответствующих медицинских сообществ.</w:t>
      </w:r>
    </w:p>
    <w:p w:rsidR="000E6FD9" w:rsidRDefault="00233458" w:rsidP="00B01B13">
      <w:pPr>
        <w:tabs>
          <w:tab w:val="left" w:pos="993"/>
        </w:tabs>
        <w:spacing w:before="120" w:after="120" w:line="360" w:lineRule="auto"/>
        <w:ind w:firstLine="567"/>
        <w:jc w:val="both"/>
        <w:rPr>
          <w:rFonts w:ascii="Arial" w:eastAsiaTheme="minorHAnsi" w:hAnsi="Arial" w:cs="Arial"/>
          <w:sz w:val="20"/>
          <w:szCs w:val="20"/>
          <w:lang w:eastAsia="en-US"/>
        </w:rPr>
      </w:pPr>
      <w:proofErr w:type="gramStart"/>
      <w:r>
        <w:rPr>
          <w:rFonts w:ascii="Arial" w:eastAsiaTheme="minorHAnsi" w:hAnsi="Arial" w:cs="Arial"/>
          <w:sz w:val="20"/>
          <w:szCs w:val="20"/>
          <w:lang w:eastAsia="en-US"/>
        </w:rPr>
        <w:t xml:space="preserve">ПРИМЕЧАНИЕ 2 </w:t>
      </w:r>
      <w:r w:rsidR="00B01B13">
        <w:rPr>
          <w:rFonts w:ascii="Arial" w:eastAsiaTheme="minorHAnsi" w:hAnsi="Arial" w:cs="Arial"/>
          <w:sz w:val="20"/>
          <w:szCs w:val="20"/>
          <w:lang w:eastAsia="en-US"/>
        </w:rPr>
        <w:t>–</w:t>
      </w:r>
      <w:r>
        <w:rPr>
          <w:rFonts w:ascii="Arial" w:eastAsiaTheme="minorHAnsi" w:hAnsi="Arial" w:cs="Arial"/>
          <w:sz w:val="20"/>
          <w:szCs w:val="20"/>
          <w:lang w:eastAsia="en-US"/>
        </w:rPr>
        <w:t xml:space="preserve"> Вышеописанная оценка или документация могут быть также выполнены вне лаборатории, например в операционной. </w:t>
      </w:r>
      <w:proofErr w:type="gramEnd"/>
    </w:p>
    <w:p w:rsidR="000E6FD9" w:rsidRDefault="00B01B13" w:rsidP="00B01B13">
      <w:pPr>
        <w:tabs>
          <w:tab w:val="left" w:pos="993"/>
        </w:tabs>
        <w:spacing w:line="360" w:lineRule="auto"/>
        <w:ind w:firstLine="567"/>
        <w:jc w:val="both"/>
        <w:rPr>
          <w:rFonts w:ascii="Arial" w:eastAsiaTheme="minorHAnsi" w:hAnsi="Arial" w:cs="Arial"/>
          <w:lang w:eastAsia="en-US"/>
        </w:rPr>
      </w:pPr>
      <w:r>
        <w:rPr>
          <w:rFonts w:ascii="Arial" w:eastAsiaTheme="minorHAnsi" w:hAnsi="Arial" w:cs="Arial"/>
          <w:lang w:eastAsia="en-US"/>
        </w:rPr>
        <w:t>b)</w:t>
      </w:r>
      <w:r w:rsidR="00233458">
        <w:rPr>
          <w:rFonts w:ascii="Arial" w:eastAsiaTheme="minorHAnsi" w:hAnsi="Arial" w:cs="Arial"/>
          <w:lang w:eastAsia="en-US"/>
        </w:rPr>
        <w:tab/>
        <w:t>Если образец ткани был удалён из тела без необходимости проведения Гестопатологического диагноза, то документирование этого образца, а также оценка, отбор и документирование образцов могут производиться другими квалифицированными лицами, кроме патологистов.</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Документация может включать в себя фотографии. Размер образцов должен соответствовать размеру гистологической кассеты (максим приблизительно 3 см × 2 см × 0,5 см).  Если образец ещё не зафиксирован надлежащим образом, постфиксация может быть выполнена в приделах гистологической кассеты. Каждая гистологическая кассета должна быть маркирована уникальным идентификатором (например, штрих-кодом, номером, аббревиатурой ткани). Если одна гистологическая кассета содержит несколько проб одного и того же образца, </w:t>
      </w:r>
      <w:r>
        <w:rPr>
          <w:rFonts w:ascii="Arial" w:eastAsiaTheme="minorHAnsi" w:hAnsi="Arial" w:cs="Arial"/>
          <w:lang w:eastAsia="en-US"/>
        </w:rPr>
        <w:lastRenderedPageBreak/>
        <w:t>и пробы представляют различные характеристики (например, тип ткани, состояние заболевания, местоположение), это должно быть задокументировано.</w:t>
      </w:r>
    </w:p>
    <w:p w:rsidR="000E6FD9" w:rsidRDefault="00233458" w:rsidP="00A53C26">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Когда проба, взятая из образца, переносится в гистологическую кассету, данный момент времени должен быть задокументирован.</w:t>
      </w:r>
    </w:p>
    <w:p w:rsidR="000E6FD9" w:rsidRDefault="00233458" w:rsidP="00A53C26">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Без промедления, т.е. предпочтительно в течение 30 минут, пробу помещают либо в стандартный буферный раствор формалина, либо, если он уже зафиксирован, в спиртосодержащий раствор (например, 70% этанол) на тканевом процессоре.</w:t>
      </w:r>
    </w:p>
    <w:p w:rsidR="000E6FD9" w:rsidRDefault="00233458" w:rsidP="00A53C26">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Общая продолжительность фиксации формалином и температура в процессе фиксации должны быть задокументированы.</w:t>
      </w:r>
    </w:p>
    <w:p w:rsidR="000E6FD9" w:rsidRDefault="00233458" w:rsidP="00B01B13">
      <w:pPr>
        <w:pStyle w:val="2"/>
        <w:tabs>
          <w:tab w:val="left" w:pos="1134"/>
        </w:tabs>
        <w:spacing w:before="120" w:after="120" w:line="360" w:lineRule="auto"/>
        <w:ind w:firstLine="567"/>
        <w:rPr>
          <w:rFonts w:ascii="Arial" w:hAnsi="Arial" w:cs="Arial"/>
          <w:b/>
          <w:color w:val="auto"/>
          <w:lang w:eastAsia="en-US"/>
        </w:rPr>
      </w:pPr>
      <w:bookmarkStart w:id="24" w:name="_Toc40995895"/>
      <w:r>
        <w:rPr>
          <w:rFonts w:ascii="Arial" w:hAnsi="Arial" w:cs="Arial"/>
          <w:b/>
          <w:color w:val="auto"/>
          <w:lang w:eastAsia="en-US"/>
        </w:rPr>
        <w:t>6.4</w:t>
      </w:r>
      <w:r>
        <w:rPr>
          <w:rFonts w:ascii="Arial" w:hAnsi="Arial" w:cs="Arial"/>
          <w:b/>
          <w:color w:val="auto"/>
          <w:lang w:eastAsia="en-US"/>
        </w:rPr>
        <w:tab/>
        <w:t>Постфиксация замороженных проб</w:t>
      </w:r>
      <w:bookmarkEnd w:id="24"/>
      <w:r>
        <w:rPr>
          <w:rFonts w:ascii="Arial" w:hAnsi="Arial" w:cs="Arial"/>
          <w:b/>
          <w:color w:val="auto"/>
          <w:lang w:eastAsia="en-US"/>
        </w:rPr>
        <w:t xml:space="preserve"> </w:t>
      </w:r>
    </w:p>
    <w:p w:rsidR="000E6FD9" w:rsidRDefault="00233458" w:rsidP="00A53C26">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Замороженные образцы и пробы (например, после диагностики замороженного участка) могут быть постфиксированы в стандартный буферный раствор формалина для дальнейшего погружения в парафин.</w:t>
      </w:r>
    </w:p>
    <w:p w:rsidR="000E6FD9" w:rsidRDefault="00233458" w:rsidP="00A53C26">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В данном случае, общая продолжительность фиксации формалином должна быть задокументирована.</w:t>
      </w:r>
    </w:p>
    <w:p w:rsidR="000E6FD9" w:rsidRDefault="00233458" w:rsidP="00A53C26">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Если фиксированный в формалине или парафине образец или проба был получен из замороженного образца или пробы, то это должно быть задокументировано.</w:t>
      </w:r>
    </w:p>
    <w:p w:rsidR="000E6FD9" w:rsidRDefault="00233458" w:rsidP="00B01B13">
      <w:pPr>
        <w:pStyle w:val="2"/>
        <w:tabs>
          <w:tab w:val="left" w:pos="1134"/>
        </w:tabs>
        <w:spacing w:before="120" w:after="120" w:line="360" w:lineRule="auto"/>
        <w:ind w:firstLine="567"/>
        <w:rPr>
          <w:rFonts w:ascii="Arial" w:hAnsi="Arial" w:cs="Arial"/>
          <w:b/>
          <w:color w:val="auto"/>
          <w:lang w:eastAsia="en-US"/>
        </w:rPr>
      </w:pPr>
      <w:bookmarkStart w:id="25" w:name="_Toc40995896"/>
      <w:r>
        <w:rPr>
          <w:rFonts w:ascii="Arial" w:hAnsi="Arial" w:cs="Arial"/>
          <w:b/>
          <w:color w:val="auto"/>
          <w:lang w:eastAsia="en-US"/>
        </w:rPr>
        <w:t>6.5</w:t>
      </w:r>
      <w:r>
        <w:rPr>
          <w:rFonts w:ascii="Arial" w:hAnsi="Arial" w:cs="Arial"/>
          <w:b/>
          <w:color w:val="auto"/>
          <w:lang w:eastAsia="en-US"/>
        </w:rPr>
        <w:tab/>
        <w:t>Процесс и заключение в парафин</w:t>
      </w:r>
      <w:bookmarkEnd w:id="25"/>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После фиксации образца или пробы в стандартном буферном растворе формалина должен быть задокументирован момент времени, когда происходит помещения в спиртосодержащий раствор тканевого процессора. Дальнейшая обработка должна производиться в тканевом процессоре в соответствии с требованиями инструкций изготовителя. </w:t>
      </w:r>
    </w:p>
    <w:p w:rsidR="000E6FD9" w:rsidRDefault="00233458" w:rsidP="00A53C26">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ПРИМЕЧАНИЕ 1 Во время обработки ткань обезвоживается и вода заменяется парафином. Остаточная вода может влиять на качество и стабильность тканей, в том числе белков, при хранении [</w:t>
      </w:r>
      <w:hyperlink w:anchor="_bookmark50" w:history="1">
        <w:r>
          <w:rPr>
            <w:rStyle w:val="afa"/>
            <w:rFonts w:ascii="Arial" w:eastAsiaTheme="minorHAnsi" w:hAnsi="Arial" w:cs="Arial"/>
            <w:color w:val="auto"/>
            <w:sz w:val="20"/>
            <w:szCs w:val="20"/>
            <w:lang w:eastAsia="en-US"/>
          </w:rPr>
          <w:t>17</w:t>
        </w:r>
      </w:hyperlink>
      <w:r>
        <w:rPr>
          <w:rFonts w:ascii="Arial" w:eastAsiaTheme="minorHAnsi" w:hAnsi="Arial" w:cs="Arial"/>
          <w:sz w:val="20"/>
          <w:szCs w:val="20"/>
          <w:lang w:eastAsia="en-US"/>
        </w:rPr>
        <w:t>].</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lastRenderedPageBreak/>
        <w:t>Замена всех реагентов должна производиться на регулярной основе в соответствии с инструкциями изготовителя.</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Продолжительность и температура внедрения парафина могут влиять на целостность биомолекул в фиксированной ткани. Для фильтрации тканей следует использовать парафин со стандартизированным составом и низкой температурой плавления. Продолжительность и температура каждого этапа заключения должны определяться в соответствии с инструкциями изготовителя или утверждёнными лабораториями протоколами.</w:t>
      </w:r>
    </w:p>
    <w:p w:rsidR="000E6FD9" w:rsidRDefault="00233458" w:rsidP="00A53C26">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ПРИМЕЧАНИЕ 2</w:t>
      </w:r>
      <w:r>
        <w:rPr>
          <w:rFonts w:ascii="Arial" w:eastAsiaTheme="minorHAnsi" w:hAnsi="Arial" w:cs="Arial"/>
          <w:sz w:val="20"/>
          <w:szCs w:val="20"/>
          <w:lang w:eastAsia="en-US"/>
        </w:rPr>
        <w:tab/>
        <w:t>Типичные низкие температуры плавления парафина находятся в диапазоне от 50 °</w:t>
      </w:r>
      <w:r>
        <w:rPr>
          <w:rFonts w:ascii="Arial" w:eastAsiaTheme="minorHAnsi" w:hAnsi="Arial" w:cs="Arial"/>
          <w:sz w:val="20"/>
          <w:szCs w:val="20"/>
          <w:lang w:eastAsia="en-US" w:bidi="en-US"/>
        </w:rPr>
        <w:t>C</w:t>
      </w:r>
      <w:r>
        <w:rPr>
          <w:rFonts w:ascii="Arial" w:eastAsiaTheme="minorHAnsi" w:hAnsi="Arial" w:cs="Arial"/>
          <w:sz w:val="20"/>
          <w:szCs w:val="20"/>
          <w:lang w:eastAsia="en-US"/>
        </w:rPr>
        <w:t xml:space="preserve"> до 56 °</w:t>
      </w:r>
      <w:r>
        <w:rPr>
          <w:rFonts w:ascii="Arial" w:eastAsiaTheme="minorHAnsi" w:hAnsi="Arial" w:cs="Arial"/>
          <w:sz w:val="20"/>
          <w:szCs w:val="20"/>
          <w:lang w:eastAsia="en-US" w:bidi="en-US"/>
        </w:rPr>
        <w:t>C</w:t>
      </w:r>
      <w:r>
        <w:rPr>
          <w:rFonts w:ascii="Arial" w:eastAsiaTheme="minorHAnsi" w:hAnsi="Arial" w:cs="Arial"/>
          <w:sz w:val="20"/>
          <w:szCs w:val="20"/>
          <w:lang w:eastAsia="en-US"/>
        </w:rPr>
        <w:t>.</w:t>
      </w:r>
    </w:p>
    <w:p w:rsidR="000E6FD9" w:rsidRDefault="00233458" w:rsidP="00A53C26">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Процедуры парафинирования и размещения могут оказывать влияние на качество белков, особенно на применяемую (высокую) температуру и продолжительность процесса. Таким образом, тест на исследование белка должен быть валидировать и проверен для используемых процессов размещения в парафине. Если воздействие на исследовательский тест признается, то температура и/или продолжительность должны быть уменьшены.</w:t>
      </w:r>
    </w:p>
    <w:p w:rsidR="000E6FD9" w:rsidRDefault="00233458" w:rsidP="00B01B13">
      <w:pPr>
        <w:pStyle w:val="2"/>
        <w:tabs>
          <w:tab w:val="left" w:pos="1134"/>
        </w:tabs>
        <w:spacing w:before="120" w:after="120" w:line="360" w:lineRule="auto"/>
        <w:ind w:firstLine="567"/>
        <w:rPr>
          <w:rFonts w:ascii="Arial" w:hAnsi="Arial" w:cs="Arial"/>
          <w:b/>
          <w:color w:val="auto"/>
          <w:lang w:eastAsia="en-US"/>
        </w:rPr>
      </w:pPr>
      <w:bookmarkStart w:id="26" w:name="_Toc40995897"/>
      <w:r>
        <w:rPr>
          <w:rFonts w:ascii="Arial" w:hAnsi="Arial" w:cs="Arial"/>
          <w:b/>
          <w:color w:val="auto"/>
          <w:lang w:eastAsia="en-US"/>
        </w:rPr>
        <w:t>6.6</w:t>
      </w:r>
      <w:r>
        <w:rPr>
          <w:rFonts w:ascii="Arial" w:hAnsi="Arial" w:cs="Arial"/>
          <w:b/>
          <w:color w:val="auto"/>
          <w:lang w:eastAsia="en-US"/>
        </w:rPr>
        <w:tab/>
        <w:t>Требования к хранению</w:t>
      </w:r>
      <w:bookmarkEnd w:id="26"/>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Ткани </w:t>
      </w:r>
      <w:r>
        <w:rPr>
          <w:rFonts w:ascii="Arial" w:eastAsiaTheme="minorHAnsi" w:hAnsi="Arial" w:cs="Arial"/>
          <w:lang w:eastAsia="en-US" w:bidi="en-US"/>
        </w:rPr>
        <w:t>FFPE</w:t>
      </w:r>
      <w:r>
        <w:rPr>
          <w:rFonts w:ascii="Arial" w:eastAsiaTheme="minorHAnsi" w:hAnsi="Arial" w:cs="Arial"/>
          <w:lang w:eastAsia="en-US"/>
        </w:rPr>
        <w:t xml:space="preserve"> могут быть сохранены в нескольких видах, например, как блоки, вырезанные секции или как набор тканей </w:t>
      </w:r>
      <w:r>
        <w:rPr>
          <w:rFonts w:ascii="Arial" w:eastAsiaTheme="minorHAnsi" w:hAnsi="Arial" w:cs="Arial"/>
          <w:lang w:eastAsia="en-US" w:bidi="en-US"/>
        </w:rPr>
        <w:t>UM</w:t>
      </w:r>
      <w:r>
        <w:rPr>
          <w:rFonts w:ascii="Arial" w:eastAsiaTheme="minorHAnsi" w:hAnsi="Arial" w:cs="Arial"/>
          <w:lang w:eastAsia="en-US"/>
        </w:rPr>
        <w:t>. Время хранения может влиять на извлечение белка или группы белков и тем самым повлиять на последующие протеомные изменения. В течение гистологии изменения зависят от хранения, вязкозсть белка может уменьшаться из-за увеличения срока хранения, особенно если образцы или пробы хранятся в течение многих лет.</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Условия хранения ну примерно такая влажность и температура, могут оказывать влияние на качество белка в архивной ткани </w:t>
      </w:r>
      <w:r>
        <w:rPr>
          <w:rFonts w:ascii="Arial" w:eastAsiaTheme="minorHAnsi" w:hAnsi="Arial" w:cs="Arial"/>
          <w:lang w:eastAsia="en-US" w:bidi="en-US"/>
        </w:rPr>
        <w:t>FFPE</w:t>
      </w:r>
      <w:r>
        <w:rPr>
          <w:rFonts w:ascii="Arial" w:eastAsiaTheme="minorHAnsi" w:hAnsi="Arial" w:cs="Arial"/>
          <w:lang w:eastAsia="en-US"/>
        </w:rPr>
        <w:t>.</w:t>
      </w:r>
    </w:p>
    <w:p w:rsidR="000E6FD9" w:rsidRDefault="00233458" w:rsidP="00A53C26">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Примечание 1</w:t>
      </w:r>
      <w:r>
        <w:rPr>
          <w:rFonts w:ascii="Arial" w:eastAsiaTheme="minorHAnsi" w:hAnsi="Arial" w:cs="Arial"/>
          <w:sz w:val="20"/>
          <w:szCs w:val="20"/>
          <w:lang w:eastAsia="en-US"/>
        </w:rPr>
        <w:tab/>
        <w:t>В одном исследовании сообщалось о снижении сигнала вестерн-блота белков, выделенных из участков ткани FFPE, зависимости от температуры хранения и влажности.</w:t>
      </w:r>
    </w:p>
    <w:p w:rsidR="000E6FD9" w:rsidRDefault="00233458" w:rsidP="00A53C26">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lastRenderedPageBreak/>
        <w:t>Для того чтобы свести к минимуму изменение количества белка, ткань следует хранить в сухом помещении при комнатной температуре или предпочтительно при более низкой.</w:t>
      </w:r>
    </w:p>
    <w:p w:rsidR="000E6FD9" w:rsidRDefault="00233458" w:rsidP="00A53C26">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Примечание 2 Более низкие температуры хранения (например, от 2 °C до 8 °C, −20 °C) замедляют процесс деградации белка.</w:t>
      </w:r>
    </w:p>
    <w:p w:rsidR="000E6FD9" w:rsidRDefault="00233458" w:rsidP="00A53C26">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Примечание 3 Если ткань FFPE не хранится в сухом виде, то деградация белка может увеличиться, а также вызвать рост грибков о бактерий.</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Для выделения белка срезы FFPE должны быть свежеприготовленными. Если хранение этих секций невозможно избежать до выделения. общего белка, то они должны храниться сухими и  при комнатной температуре или более низкой в течении наименьшего срока. </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Должна быть создана система для длительного хранения FFPE. Положение хранения, температура хранения и извлечение любого образца или пробы из системы хранения, его использование и возвращение в систему хранения должны быть задокументированы.</w:t>
      </w:r>
    </w:p>
    <w:p w:rsidR="000E6FD9" w:rsidRDefault="00233458" w:rsidP="00A53C26">
      <w:pPr>
        <w:pStyle w:val="2"/>
        <w:spacing w:before="120" w:after="120" w:line="360" w:lineRule="auto"/>
        <w:ind w:firstLine="567"/>
        <w:rPr>
          <w:rFonts w:ascii="Arial" w:hAnsi="Arial" w:cs="Arial"/>
          <w:b/>
          <w:color w:val="auto"/>
          <w:lang w:eastAsia="en-US"/>
        </w:rPr>
      </w:pPr>
      <w:bookmarkStart w:id="27" w:name="_Toc40995898"/>
      <w:r>
        <w:rPr>
          <w:rFonts w:ascii="Arial" w:hAnsi="Arial" w:cs="Arial"/>
          <w:b/>
          <w:color w:val="auto"/>
          <w:lang w:eastAsia="en-US"/>
        </w:rPr>
        <w:t>6.7 Выделение общего белка</w:t>
      </w:r>
      <w:bookmarkEnd w:id="27"/>
    </w:p>
    <w:p w:rsidR="000E6FD9" w:rsidRDefault="00233458" w:rsidP="00A53C26">
      <w:pPr>
        <w:pStyle w:val="3"/>
        <w:ind w:firstLine="567"/>
        <w:rPr>
          <w:rFonts w:ascii="Arial" w:eastAsiaTheme="minorHAnsi" w:hAnsi="Arial" w:cs="Arial"/>
          <w:b w:val="0"/>
          <w:sz w:val="24"/>
          <w:szCs w:val="24"/>
          <w:lang w:eastAsia="en-US" w:bidi="en-US"/>
        </w:rPr>
      </w:pPr>
      <w:bookmarkStart w:id="28" w:name="_Toc40995899"/>
      <w:r>
        <w:rPr>
          <w:rFonts w:ascii="Arial" w:eastAsiaTheme="minorHAnsi" w:hAnsi="Arial" w:cs="Arial"/>
          <w:sz w:val="24"/>
          <w:szCs w:val="24"/>
          <w:lang w:eastAsia="en-US"/>
        </w:rPr>
        <w:t>6.7.1</w:t>
      </w:r>
      <w:r>
        <w:rPr>
          <w:rFonts w:ascii="Arial" w:eastAsiaTheme="minorHAnsi" w:hAnsi="Arial" w:cs="Arial"/>
          <w:b w:val="0"/>
          <w:sz w:val="24"/>
          <w:szCs w:val="24"/>
          <w:lang w:eastAsia="en-US"/>
        </w:rPr>
        <w:t xml:space="preserve"> </w:t>
      </w:r>
      <w:r>
        <w:rPr>
          <w:rStyle w:val="30"/>
          <w:rFonts w:ascii="Arial" w:hAnsi="Arial" w:cs="Arial"/>
          <w:b/>
          <w:sz w:val="24"/>
          <w:szCs w:val="24"/>
          <w:lang w:eastAsia="en-US"/>
        </w:rPr>
        <w:t>Общие сведения</w:t>
      </w:r>
      <w:bookmarkEnd w:id="28"/>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Гистопатологическая характеристика клеточного состава и патологического состояния образца или пробы должна быть выполнена (например, на срезах гематоксилина/эозина (</w:t>
      </w:r>
      <w:r>
        <w:rPr>
          <w:rFonts w:ascii="Arial" w:eastAsiaTheme="minorHAnsi" w:hAnsi="Arial" w:cs="Arial"/>
          <w:lang w:eastAsia="en-US" w:bidi="en-US"/>
        </w:rPr>
        <w:t>H</w:t>
      </w:r>
      <w:r>
        <w:rPr>
          <w:rFonts w:ascii="Arial" w:eastAsiaTheme="minorHAnsi" w:hAnsi="Arial" w:cs="Arial"/>
          <w:lang w:eastAsia="en-US"/>
        </w:rPr>
        <w:t>&amp;</w:t>
      </w:r>
      <w:r>
        <w:rPr>
          <w:rFonts w:ascii="Arial" w:eastAsiaTheme="minorHAnsi" w:hAnsi="Arial" w:cs="Arial"/>
          <w:lang w:eastAsia="en-US" w:bidi="en-US"/>
        </w:rPr>
        <w:t>E</w:t>
      </w:r>
      <w:r>
        <w:rPr>
          <w:rFonts w:ascii="Arial" w:eastAsiaTheme="minorHAnsi" w:hAnsi="Arial" w:cs="Arial"/>
          <w:lang w:eastAsia="en-US"/>
        </w:rPr>
        <w:t xml:space="preserve">)) в соответствии с международной гистопатологической классификацией (например, </w:t>
      </w:r>
      <w:r>
        <w:rPr>
          <w:rFonts w:ascii="Arial" w:eastAsiaTheme="minorHAnsi" w:hAnsi="Arial" w:cs="Arial"/>
          <w:lang w:eastAsia="en-US" w:bidi="en-US"/>
        </w:rPr>
        <w:t>WHO</w:t>
      </w:r>
      <w:r>
        <w:rPr>
          <w:rFonts w:ascii="Arial" w:eastAsiaTheme="minorHAnsi" w:hAnsi="Arial" w:cs="Arial"/>
          <w:lang w:eastAsia="en-US"/>
        </w:rPr>
        <w:t>/</w:t>
      </w:r>
      <w:r>
        <w:rPr>
          <w:rFonts w:ascii="Arial" w:eastAsiaTheme="minorHAnsi" w:hAnsi="Arial" w:cs="Arial"/>
          <w:lang w:eastAsia="en-US" w:bidi="en-US"/>
        </w:rPr>
        <w:t>IARC</w:t>
      </w:r>
      <w:r>
        <w:rPr>
          <w:rFonts w:ascii="Arial" w:eastAsiaTheme="minorHAnsi" w:hAnsi="Arial" w:cs="Arial"/>
          <w:lang w:eastAsia="en-US"/>
        </w:rPr>
        <w:t xml:space="preserve"> Классификация Опухолей). Когда образец или проба используется для молекулярной диагностики, часть целевых клеток всё ещё оценивается до выделения белка. Количество целевых клеток должно быть достаточным для проведения исследования. Когда образец или проба не используется для диагностики, например для исследования, рекомендуется схожим методом.</w:t>
      </w:r>
    </w:p>
    <w:p w:rsidR="000E6FD9" w:rsidRDefault="00233458" w:rsidP="00B01B13">
      <w:pPr>
        <w:pStyle w:val="3"/>
        <w:keepNext/>
        <w:spacing w:before="100" w:after="100"/>
        <w:ind w:firstLine="567"/>
        <w:rPr>
          <w:rFonts w:ascii="Arial" w:eastAsiaTheme="minorHAnsi" w:hAnsi="Arial" w:cs="Arial"/>
          <w:sz w:val="24"/>
          <w:szCs w:val="24"/>
          <w:lang w:eastAsia="en-US"/>
        </w:rPr>
      </w:pPr>
      <w:bookmarkStart w:id="29" w:name="_Toc40995900"/>
      <w:r>
        <w:rPr>
          <w:rFonts w:ascii="Arial" w:eastAsiaTheme="minorHAnsi" w:hAnsi="Arial" w:cs="Arial"/>
          <w:sz w:val="24"/>
          <w:szCs w:val="24"/>
          <w:lang w:eastAsia="en-US"/>
        </w:rPr>
        <w:lastRenderedPageBreak/>
        <w:t>6.7.2 Общие сведения о процедурах выделения белка</w:t>
      </w:r>
      <w:bookmarkEnd w:id="29"/>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Существует несколько проблем, включая селективное или неполное восстановление белков, деградацию белков и модификацию белков, которые должны приниматься во внимание при интерпретации результатов, полученных в результате исследований.</w:t>
      </w:r>
    </w:p>
    <w:p w:rsidR="000E6FD9" w:rsidRDefault="00233458" w:rsidP="00A53C26">
      <w:pPr>
        <w:spacing w:line="360" w:lineRule="auto"/>
        <w:ind w:firstLine="567"/>
        <w:jc w:val="both"/>
        <w:rPr>
          <w:rFonts w:ascii="Arial" w:eastAsiaTheme="minorHAnsi" w:hAnsi="Arial" w:cs="Arial"/>
          <w:lang w:eastAsia="en-US" w:bidi="en-US"/>
        </w:rPr>
      </w:pPr>
      <w:r>
        <w:rPr>
          <w:rFonts w:ascii="Arial" w:eastAsiaTheme="minorHAnsi" w:hAnsi="Arial" w:cs="Arial"/>
          <w:lang w:eastAsia="en-US"/>
        </w:rPr>
        <w:t>Требования и рекомендации.</w:t>
      </w:r>
    </w:p>
    <w:p w:rsidR="000E6FD9" w:rsidRDefault="00233458" w:rsidP="00B01B13">
      <w:pPr>
        <w:numPr>
          <w:ilvl w:val="0"/>
          <w:numId w:val="9"/>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Оптимальная продолжительность фиксации зависит от типа и толщины ткани. Длительная фиксация тканей приводит к снижению выхода белка и его следует избегать. При толщине ткани до 5 мм, продолжительность фиксация должна составлять от 12 часов до 24 часов в стандартном буферном растворе формалина.</w:t>
      </w:r>
    </w:p>
    <w:p w:rsidR="000E6FD9" w:rsidRDefault="00233458" w:rsidP="00B01B13">
      <w:pPr>
        <w:numPr>
          <w:ilvl w:val="0"/>
          <w:numId w:val="9"/>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 xml:space="preserve">Исходным материалом для очистки белка должны служить свежесрезанные среза толщиной до 10 мкм, полученные из блоков ткани </w:t>
      </w:r>
      <w:r>
        <w:rPr>
          <w:rFonts w:ascii="Arial" w:eastAsiaTheme="minorHAnsi" w:hAnsi="Arial" w:cs="Arial"/>
          <w:lang w:eastAsia="en-US" w:bidi="en-US"/>
        </w:rPr>
        <w:t>FFPE</w:t>
      </w:r>
      <w:r>
        <w:rPr>
          <w:rFonts w:ascii="Arial" w:eastAsiaTheme="minorHAnsi" w:hAnsi="Arial" w:cs="Arial"/>
          <w:lang w:eastAsia="en-US"/>
        </w:rPr>
        <w:t xml:space="preserve"> </w:t>
      </w:r>
      <w:proofErr w:type="gramStart"/>
      <w:r>
        <w:rPr>
          <w:rFonts w:ascii="Arial" w:eastAsiaTheme="minorHAnsi" w:hAnsi="Arial" w:cs="Arial"/>
          <w:lang w:eastAsia="en-US"/>
        </w:rPr>
        <w:t>ручную</w:t>
      </w:r>
      <w:proofErr w:type="gramEnd"/>
      <w:r>
        <w:rPr>
          <w:rFonts w:ascii="Arial" w:eastAsiaTheme="minorHAnsi" w:hAnsi="Arial" w:cs="Arial"/>
          <w:lang w:eastAsia="en-US"/>
        </w:rPr>
        <w:t>[</w:t>
      </w:r>
      <w:hyperlink w:anchor="_bookmark54" w:history="1">
        <w:r>
          <w:rPr>
            <w:rStyle w:val="afa"/>
            <w:rFonts w:ascii="Arial" w:eastAsiaTheme="minorHAnsi" w:hAnsi="Arial" w:cs="Arial"/>
            <w:lang w:eastAsia="en-US"/>
          </w:rPr>
          <w:t>21</w:t>
        </w:r>
      </w:hyperlink>
      <w:r>
        <w:rPr>
          <w:rFonts w:ascii="Arial" w:eastAsiaTheme="minorHAnsi" w:hAnsi="Arial" w:cs="Arial"/>
          <w:lang w:eastAsia="en-US"/>
        </w:rPr>
        <w:t>] рассеченные пробы, лазерные микродиссектированные пробы или тканевые основы [</w:t>
      </w:r>
      <w:hyperlink w:anchor="_bookmark55" w:history="1">
        <w:r>
          <w:rPr>
            <w:rStyle w:val="afa"/>
            <w:rFonts w:ascii="Arial" w:eastAsiaTheme="minorHAnsi" w:hAnsi="Arial" w:cs="Arial"/>
            <w:lang w:eastAsia="en-US"/>
          </w:rPr>
          <w:t>22</w:t>
        </w:r>
      </w:hyperlink>
      <w:r>
        <w:rPr>
          <w:rFonts w:ascii="Arial" w:eastAsiaTheme="minorHAnsi" w:hAnsi="Arial" w:cs="Arial"/>
          <w:lang w:eastAsia="en-US"/>
        </w:rPr>
        <w:t>] [например, тканевые микрочипы (</w:t>
      </w:r>
      <w:r>
        <w:rPr>
          <w:rFonts w:ascii="Arial" w:eastAsiaTheme="minorHAnsi" w:hAnsi="Arial" w:cs="Arial"/>
          <w:lang w:eastAsia="en-US" w:bidi="en-US"/>
        </w:rPr>
        <w:t>TMA</w:t>
      </w:r>
      <w:r>
        <w:rPr>
          <w:rFonts w:ascii="Arial" w:eastAsiaTheme="minorHAnsi" w:hAnsi="Arial" w:cs="Arial"/>
          <w:lang w:eastAsia="en-US"/>
        </w:rPr>
        <w:t>)]. Гистологи должны носить перчатки. Соответствующие части микротома, включая многоразовое лезвие, должны быть очищены после резки каждого парафинового блока. Следует рассмотреть возможность использования новых одноразовых лезвий на микротоме, чтобы избежать перекрёстного заражения.</w:t>
      </w:r>
    </w:p>
    <w:p w:rsidR="000E6FD9" w:rsidRDefault="00233458" w:rsidP="00B01B13">
      <w:pPr>
        <w:numPr>
          <w:ilvl w:val="0"/>
          <w:numId w:val="9"/>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Параллельно окрашенные гемотоксилином/эозином (</w:t>
      </w:r>
      <w:r>
        <w:rPr>
          <w:rFonts w:ascii="Arial" w:eastAsiaTheme="minorHAnsi" w:hAnsi="Arial" w:cs="Arial"/>
          <w:lang w:eastAsia="en-US" w:bidi="en-US"/>
        </w:rPr>
        <w:t>H</w:t>
      </w:r>
      <w:r>
        <w:rPr>
          <w:rFonts w:ascii="Arial" w:eastAsiaTheme="minorHAnsi" w:hAnsi="Arial" w:cs="Arial"/>
          <w:lang w:eastAsia="en-US"/>
        </w:rPr>
        <w:t>&amp;</w:t>
      </w:r>
      <w:r>
        <w:rPr>
          <w:rFonts w:ascii="Arial" w:eastAsiaTheme="minorHAnsi" w:hAnsi="Arial" w:cs="Arial"/>
          <w:lang w:eastAsia="en-US" w:bidi="en-US"/>
        </w:rPr>
        <w:t>E</w:t>
      </w:r>
      <w:r>
        <w:rPr>
          <w:rFonts w:ascii="Arial" w:eastAsiaTheme="minorHAnsi" w:hAnsi="Arial" w:cs="Arial"/>
          <w:lang w:eastAsia="en-US"/>
        </w:rPr>
        <w:t>) участки следует использовать для идентификации, отбора и контрольного вскрытия неокрашенных образцов для последующего выделения белка и количественного анализа. Окрашивание участков перед выделением белка не должно выполняться, т.к. окрашивание может ухудшить качество белка и производительность в последующих применениях.</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Если белок извлекается из архивированных тканевых блоков, то блоки должны быть обрезаны путём удаления первых секций, прежде чем брать секции для выделения белка. Возможно, потребуется дополнительно обрезать блоки, чтобы дополнить их тканевыми компонентами для релевантности эксперемента.</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lastRenderedPageBreak/>
        <w:t>Если имеются сомнения в правильности идентификации образца или пробы, что должно быть проведено испытание на проверку идентификации.</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Выделение общего белка является ключевым этапом в диагностическом процессе, который должен быть особенно сосредоточен на верификации и валидации этого процесса.</w:t>
      </w:r>
    </w:p>
    <w:p w:rsidR="000E6FD9" w:rsidRDefault="00233458" w:rsidP="00A53C26">
      <w:pPr>
        <w:pStyle w:val="3"/>
        <w:ind w:firstLine="567"/>
        <w:rPr>
          <w:rFonts w:ascii="Arial" w:eastAsiaTheme="minorHAnsi" w:hAnsi="Arial" w:cs="Arial"/>
          <w:sz w:val="24"/>
          <w:szCs w:val="24"/>
          <w:lang w:eastAsia="en-US"/>
        </w:rPr>
      </w:pPr>
      <w:bookmarkStart w:id="30" w:name="_Toc40995901"/>
      <w:r>
        <w:rPr>
          <w:rFonts w:ascii="Arial" w:eastAsiaTheme="minorHAnsi" w:hAnsi="Arial" w:cs="Arial"/>
          <w:sz w:val="24"/>
          <w:szCs w:val="24"/>
          <w:lang w:eastAsia="en-US"/>
        </w:rPr>
        <w:t>6.7.3 Использование коммерческих наборов</w:t>
      </w:r>
      <w:bookmarkEnd w:id="30"/>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При использовании коммерческих наборов, предназначенных для выделения белка из тканей FFPE, должны соблюдаться инструкции изготовителей.</w:t>
      </w:r>
    </w:p>
    <w:p w:rsidR="000E6FD9" w:rsidRDefault="00233458" w:rsidP="00A53C26">
      <w:pPr>
        <w:pStyle w:val="3"/>
        <w:ind w:firstLine="567"/>
        <w:rPr>
          <w:rFonts w:ascii="Arial" w:eastAsiaTheme="minorHAnsi" w:hAnsi="Arial" w:cs="Arial"/>
          <w:sz w:val="24"/>
          <w:szCs w:val="24"/>
          <w:lang w:eastAsia="en-US"/>
        </w:rPr>
      </w:pPr>
      <w:bookmarkStart w:id="31" w:name="_Toc40995902"/>
      <w:r>
        <w:rPr>
          <w:rFonts w:ascii="Arial" w:eastAsiaTheme="minorHAnsi" w:hAnsi="Arial" w:cs="Arial"/>
          <w:sz w:val="24"/>
          <w:szCs w:val="24"/>
          <w:lang w:eastAsia="en-US"/>
        </w:rPr>
        <w:t>6.7.4 Использование собственных лабораторных протоколов</w:t>
      </w:r>
      <w:bookmarkEnd w:id="31"/>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Если коммерческий набор не используется в соответствии с его назначением, но признан пригодным для использования определенным пользователем, инструкции должны быть написаны и использованы.</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Если лаборатория использует свой собственный протокол, независимый от коммерческого набора, то должна быть проведена верификация, подтверждающая, что он пригоден для этой цели, и должны быть написаны инструкции и использованы.</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Мощное очищающее средство (чаще всего используется додецилсульфат натрия, SDS) и воздействие высоких температур должны использоваться для эффективной смены белковых сшивок на основе формальдегида, необходимых для выделение белка из тканей FFPE.</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Сочетание продуктов от разных производителей может ставить под угрозу результаты, так как эти продукты могут быть несовместимы. Они должны использоваться для диагностического тестирования только в том случае, если компоненты были совместно протестированы и утверждены для совместной удовлетворительной работы.</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lastRenderedPageBreak/>
        <w:t>Процедура выделение белка для секции тканей FFPE, которые устанавливаются непосредственно на предметном стекле, должна содержать три следующих этапа:.</w:t>
      </w:r>
    </w:p>
    <w:p w:rsidR="000E6FD9" w:rsidRDefault="00233458" w:rsidP="00B01B13">
      <w:pPr>
        <w:numPr>
          <w:ilvl w:val="0"/>
          <w:numId w:val="10"/>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Подготовка образца или пробы</w:t>
      </w:r>
    </w:p>
    <w:p w:rsidR="000E6FD9" w:rsidRDefault="00233458" w:rsidP="00B01B13">
      <w:pPr>
        <w:tabs>
          <w:tab w:val="left" w:pos="993"/>
        </w:tabs>
        <w:spacing w:line="360" w:lineRule="auto"/>
        <w:ind w:firstLine="567"/>
        <w:jc w:val="both"/>
        <w:rPr>
          <w:rFonts w:ascii="Arial" w:eastAsiaTheme="minorHAnsi" w:hAnsi="Arial" w:cs="Arial"/>
          <w:lang w:eastAsia="en-US"/>
        </w:rPr>
      </w:pPr>
      <w:r>
        <w:rPr>
          <w:rFonts w:ascii="Arial" w:eastAsiaTheme="minorHAnsi" w:hAnsi="Arial" w:cs="Arial"/>
          <w:lang w:eastAsia="en-US"/>
        </w:rPr>
        <w:sym w:font="Symbol" w:char="F0BE"/>
      </w:r>
      <w:r>
        <w:rPr>
          <w:rFonts w:ascii="Arial" w:eastAsiaTheme="minorHAnsi" w:hAnsi="Arial" w:cs="Arial"/>
          <w:lang w:eastAsia="en-US"/>
        </w:rPr>
        <w:tab/>
        <w:t>При помощи микротома следует вырезать подходящее количество секций толщиной от 5 до 1 дюймов, а затем расположить их на предметном стекле микроскопа.</w:t>
      </w:r>
    </w:p>
    <w:p w:rsidR="000E6FD9" w:rsidRDefault="00233458" w:rsidP="00A53C26">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Примечание </w:t>
      </w:r>
      <w:r>
        <w:rPr>
          <w:rFonts w:ascii="Arial" w:eastAsiaTheme="minorHAnsi" w:hAnsi="Arial" w:cs="Arial"/>
          <w:lang w:eastAsia="en-US"/>
        </w:rPr>
        <w:t>—</w:t>
      </w:r>
      <w:r>
        <w:rPr>
          <w:rFonts w:ascii="Arial" w:eastAsiaTheme="minorHAnsi" w:hAnsi="Arial" w:cs="Arial"/>
          <w:sz w:val="20"/>
          <w:szCs w:val="20"/>
          <w:lang w:eastAsia="en-US"/>
        </w:rPr>
        <w:t xml:space="preserve"> Для некоторых тканей и/или белков также могут использованы секции больших размеров.</w:t>
      </w:r>
      <w:r>
        <w:rPr>
          <w:rFonts w:ascii="Arial" w:eastAsiaTheme="minorHAnsi" w:hAnsi="Arial" w:cs="Arial"/>
          <w:sz w:val="20"/>
          <w:szCs w:val="20"/>
          <w:lang w:eastAsia="en-US"/>
        </w:rPr>
        <w:tab/>
      </w:r>
    </w:p>
    <w:p w:rsidR="000E6FD9" w:rsidRDefault="00233458" w:rsidP="00B01B13">
      <w:pPr>
        <w:numPr>
          <w:ilvl w:val="0"/>
          <w:numId w:val="10"/>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Депарафинизация</w:t>
      </w:r>
    </w:p>
    <w:p w:rsidR="000E6FD9" w:rsidRDefault="00233458" w:rsidP="00B01B13">
      <w:pPr>
        <w:tabs>
          <w:tab w:val="left" w:pos="993"/>
        </w:tabs>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w:t>
      </w:r>
      <w:r>
        <w:rPr>
          <w:rFonts w:ascii="Arial" w:eastAsiaTheme="minorHAnsi" w:hAnsi="Arial" w:cs="Arial"/>
          <w:lang w:eastAsia="en-US"/>
        </w:rPr>
        <w:tab/>
        <w:t>Можно использовать обычные стадии депарафинизации и регидрации (например, добавление подходящего растворителя парафинового воска дважды в течение 10 мин. и 100 %, 90 % и 70 % этанола каждые 5 мин.).</w:t>
      </w:r>
    </w:p>
    <w:p w:rsidR="000E6FD9" w:rsidRDefault="00233458" w:rsidP="00A53C26">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Примечание  — Это можно сделать с помощью растворителей, таких как ксилол. В качестве альтернатив, могут быть использованы высокотемпературные методы, которые освобождают ткани от парафина, но избегают необходимости в растворителях.</w:t>
      </w:r>
    </w:p>
    <w:p w:rsidR="000E6FD9" w:rsidRDefault="00233458" w:rsidP="00B01B13">
      <w:pPr>
        <w:numPr>
          <w:ilvl w:val="0"/>
          <w:numId w:val="10"/>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Выделение белка</w:t>
      </w:r>
    </w:p>
    <w:p w:rsidR="000E6FD9" w:rsidRDefault="00233458" w:rsidP="00B01B13">
      <w:pPr>
        <w:pStyle w:val="Bodytext10"/>
        <w:numPr>
          <w:ilvl w:val="0"/>
          <w:numId w:val="11"/>
        </w:numPr>
        <w:shd w:val="clear" w:color="auto" w:fill="auto"/>
        <w:tabs>
          <w:tab w:val="left" w:pos="822"/>
          <w:tab w:val="left" w:pos="993"/>
        </w:tabs>
        <w:spacing w:after="0" w:line="360" w:lineRule="auto"/>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Необходимый участок ткани должен быть перенесён реакционную трубку, содержащую подходящий объем буфера для выделение белка, содержащего мощное очищающее средство, например додецилсульфат натрия. Ткань кипятят в течение 20 минут с последующей инкубацией при 80 °C в течение 2 ч. Ткань должна быть обработана центрифугой и после всплытия перенесена в чистую реакционную пробирку для оценки качества.</w:t>
      </w:r>
    </w:p>
    <w:p w:rsidR="000E6FD9" w:rsidRDefault="00233458" w:rsidP="00B01B13">
      <w:pPr>
        <w:pStyle w:val="Bodytext10"/>
        <w:numPr>
          <w:ilvl w:val="0"/>
          <w:numId w:val="11"/>
        </w:numPr>
        <w:shd w:val="clear" w:color="auto" w:fill="auto"/>
        <w:tabs>
          <w:tab w:val="left" w:pos="822"/>
          <w:tab w:val="left" w:pos="993"/>
        </w:tabs>
        <w:spacing w:after="0" w:line="360" w:lineRule="auto"/>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В зависимости от последующего использовательского теста (например, весовая спектометрия) дополнительные этапы ((например, образование пептидов) могут потребоваться после удаления очищающего средства.</w:t>
      </w:r>
    </w:p>
    <w:p w:rsidR="000E6FD9" w:rsidRDefault="00233458" w:rsidP="00B01B13">
      <w:pPr>
        <w:pStyle w:val="Bodytext10"/>
        <w:numPr>
          <w:ilvl w:val="0"/>
          <w:numId w:val="11"/>
        </w:numPr>
        <w:shd w:val="clear" w:color="auto" w:fill="auto"/>
        <w:tabs>
          <w:tab w:val="left" w:pos="822"/>
          <w:tab w:val="left" w:pos="993"/>
        </w:tabs>
        <w:spacing w:after="0" w:line="360" w:lineRule="auto"/>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Для выделения белков из очень малого числа клеток, таких как одиночные клетки с лазерной микродиссекцией, могут потребоваться различные специальные процедуры выделения белков.</w:t>
      </w:r>
    </w:p>
    <w:p w:rsidR="000E6FD9" w:rsidRDefault="00233458" w:rsidP="00B01B13">
      <w:pPr>
        <w:spacing w:before="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lastRenderedPageBreak/>
        <w:t xml:space="preserve">Примечание </w:t>
      </w:r>
      <w:r>
        <w:rPr>
          <w:rFonts w:ascii="Arial" w:eastAsiaTheme="minorHAnsi" w:hAnsi="Arial" w:cs="Arial"/>
          <w:sz w:val="20"/>
          <w:szCs w:val="20"/>
          <w:lang w:eastAsia="en-US"/>
        </w:rPr>
        <w:sym w:font="Symbol" w:char="F0BE"/>
      </w:r>
      <w:r>
        <w:rPr>
          <w:rFonts w:ascii="Arial" w:eastAsiaTheme="minorHAnsi" w:hAnsi="Arial" w:cs="Arial"/>
          <w:sz w:val="20"/>
          <w:szCs w:val="20"/>
          <w:lang w:eastAsia="en-US"/>
        </w:rPr>
        <w:t xml:space="preserve"> Частичное растворение тканей </w:t>
      </w:r>
      <w:r>
        <w:rPr>
          <w:rFonts w:ascii="Arial" w:eastAsiaTheme="minorHAnsi" w:hAnsi="Arial" w:cs="Arial"/>
          <w:sz w:val="20"/>
          <w:szCs w:val="20"/>
          <w:lang w:eastAsia="en-US" w:bidi="en-US"/>
        </w:rPr>
        <w:t>FFPE</w:t>
      </w:r>
      <w:r>
        <w:rPr>
          <w:rFonts w:ascii="Arial" w:eastAsiaTheme="minorHAnsi" w:hAnsi="Arial" w:cs="Arial"/>
          <w:sz w:val="20"/>
          <w:szCs w:val="20"/>
          <w:lang w:eastAsia="en-US"/>
        </w:rPr>
        <w:t xml:space="preserve"> может привести к смещению изоляции и повлиять на результат.</w:t>
      </w:r>
    </w:p>
    <w:p w:rsidR="000E6FD9" w:rsidRDefault="00233458" w:rsidP="00B01B13">
      <w:pPr>
        <w:pStyle w:val="2"/>
        <w:numPr>
          <w:ilvl w:val="1"/>
          <w:numId w:val="12"/>
        </w:numPr>
        <w:tabs>
          <w:tab w:val="left" w:pos="1134"/>
        </w:tabs>
        <w:spacing w:before="120" w:after="120" w:line="360" w:lineRule="auto"/>
        <w:ind w:left="0" w:firstLine="567"/>
        <w:rPr>
          <w:rFonts w:ascii="Arial" w:hAnsi="Arial" w:cs="Arial"/>
          <w:b/>
          <w:color w:val="auto"/>
          <w:lang w:eastAsia="en-US"/>
        </w:rPr>
      </w:pPr>
      <w:bookmarkStart w:id="32" w:name="_Toc40995903"/>
      <w:r>
        <w:rPr>
          <w:rFonts w:ascii="Arial" w:hAnsi="Arial" w:cs="Arial"/>
          <w:b/>
          <w:color w:val="auto"/>
          <w:lang w:eastAsia="en-US"/>
        </w:rPr>
        <w:t>Оценка качества выделенных белков</w:t>
      </w:r>
      <w:bookmarkEnd w:id="32"/>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Качество и количество белка должно быть проверено общепринятыми физическими, химическими и биохимическими процедурами (например, вестерн-блот, метод Бредфорда), и/или соответствующими контрольными методами в рамках теста.</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Такие процедуры для определения чистоты и целостности могут включать в себя один или несколько следующих методов, в зависимости от специфики исследовательского теста:</w:t>
      </w:r>
    </w:p>
    <w:p w:rsidR="000E6FD9" w:rsidRDefault="00233458" w:rsidP="00B01B13">
      <w:pPr>
        <w:pStyle w:val="16"/>
        <w:numPr>
          <w:ilvl w:val="0"/>
          <w:numId w:val="13"/>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Электрофорез белков в полиакриламидном геле (SDS-PAGE) и окрашивание синим Кумасси и серебром;</w:t>
      </w:r>
    </w:p>
    <w:p w:rsidR="000E6FD9" w:rsidRDefault="00233458" w:rsidP="00B01B13">
      <w:pPr>
        <w:pStyle w:val="16"/>
        <w:numPr>
          <w:ilvl w:val="0"/>
          <w:numId w:val="13"/>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капиллярный электрофорез;</w:t>
      </w:r>
    </w:p>
    <w:p w:rsidR="000E6FD9" w:rsidRDefault="00233458" w:rsidP="00B01B13">
      <w:pPr>
        <w:pStyle w:val="16"/>
        <w:numPr>
          <w:ilvl w:val="0"/>
          <w:numId w:val="13"/>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масс-спектометрия;</w:t>
      </w:r>
    </w:p>
    <w:p w:rsidR="000E6FD9" w:rsidRDefault="00233458" w:rsidP="00B01B13">
      <w:pPr>
        <w:pStyle w:val="16"/>
        <w:numPr>
          <w:ilvl w:val="0"/>
          <w:numId w:val="13"/>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вестерн-блот (наприме, бета-актин).</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Определение общей концентрации белка может включать в себя один или несколько из нижеследующих методов, в зависимости от специфики исследовательского теста:</w:t>
      </w:r>
    </w:p>
    <w:p w:rsidR="000E6FD9" w:rsidRDefault="00233458" w:rsidP="00B01B13">
      <w:pPr>
        <w:tabs>
          <w:tab w:val="left" w:pos="993"/>
        </w:tabs>
        <w:spacing w:line="360" w:lineRule="auto"/>
        <w:ind w:firstLine="567"/>
        <w:jc w:val="both"/>
        <w:rPr>
          <w:rFonts w:ascii="Arial" w:eastAsiaTheme="minorHAnsi" w:hAnsi="Arial" w:cs="Arial"/>
          <w:lang w:eastAsia="en-US"/>
        </w:rPr>
      </w:pPr>
      <w:r>
        <w:rPr>
          <w:rFonts w:ascii="Arial" w:eastAsiaTheme="minorHAnsi" w:hAnsi="Arial" w:cs="Arial"/>
          <w:lang w:eastAsia="en-US"/>
        </w:rPr>
        <w:t>a)</w:t>
      </w:r>
      <w:r>
        <w:rPr>
          <w:rFonts w:ascii="Arial" w:eastAsiaTheme="minorHAnsi" w:hAnsi="Arial" w:cs="Arial"/>
          <w:lang w:eastAsia="en-US"/>
        </w:rPr>
        <w:tab/>
        <w:t>Метод Бредфорда;</w:t>
      </w:r>
    </w:p>
    <w:p w:rsidR="000E6FD9" w:rsidRDefault="00233458" w:rsidP="00B01B13">
      <w:pPr>
        <w:tabs>
          <w:tab w:val="left" w:pos="993"/>
        </w:tabs>
        <w:spacing w:line="360" w:lineRule="auto"/>
        <w:ind w:firstLine="567"/>
        <w:jc w:val="both"/>
        <w:rPr>
          <w:rFonts w:ascii="Arial" w:eastAsiaTheme="minorHAnsi" w:hAnsi="Arial" w:cs="Arial"/>
          <w:lang w:eastAsia="en-US"/>
        </w:rPr>
      </w:pPr>
      <w:r>
        <w:rPr>
          <w:rFonts w:ascii="Arial" w:eastAsiaTheme="minorHAnsi" w:hAnsi="Arial" w:cs="Arial"/>
          <w:lang w:eastAsia="en-US"/>
        </w:rPr>
        <w:t>b)</w:t>
      </w:r>
      <w:r>
        <w:rPr>
          <w:rFonts w:ascii="Arial" w:eastAsiaTheme="minorHAnsi" w:hAnsi="Arial" w:cs="Arial"/>
          <w:lang w:eastAsia="en-US"/>
        </w:rPr>
        <w:tab/>
        <w:t>анализ бицинхониновой кислоты (BCA);</w:t>
      </w:r>
    </w:p>
    <w:p w:rsidR="000E6FD9" w:rsidRDefault="00233458" w:rsidP="00B01B13">
      <w:pPr>
        <w:tabs>
          <w:tab w:val="left" w:pos="993"/>
        </w:tabs>
        <w:spacing w:line="360" w:lineRule="auto"/>
        <w:ind w:firstLine="567"/>
        <w:jc w:val="both"/>
        <w:rPr>
          <w:rFonts w:ascii="Arial" w:eastAsiaTheme="minorHAnsi" w:hAnsi="Arial" w:cs="Arial"/>
          <w:sz w:val="20"/>
          <w:szCs w:val="20"/>
          <w:lang w:eastAsia="en-US"/>
        </w:rPr>
      </w:pPr>
      <w:r>
        <w:rPr>
          <w:rFonts w:ascii="Arial" w:eastAsiaTheme="minorHAnsi" w:hAnsi="Arial" w:cs="Arial"/>
          <w:lang w:eastAsia="en-US"/>
        </w:rPr>
        <w:t>c)</w:t>
      </w:r>
      <w:r>
        <w:rPr>
          <w:rFonts w:ascii="Arial" w:eastAsiaTheme="minorHAnsi" w:hAnsi="Arial" w:cs="Arial"/>
          <w:lang w:eastAsia="en-US"/>
        </w:rPr>
        <w:tab/>
        <w:t>Метод Лоури.</w:t>
      </w:r>
    </w:p>
    <w:p w:rsidR="000E6FD9" w:rsidRDefault="000E6FD9" w:rsidP="00A53C26">
      <w:pPr>
        <w:spacing w:line="360" w:lineRule="auto"/>
        <w:ind w:firstLine="567"/>
        <w:jc w:val="both"/>
        <w:rPr>
          <w:rFonts w:ascii="Arial" w:eastAsiaTheme="minorHAnsi" w:hAnsi="Arial" w:cs="Arial"/>
          <w:lang w:eastAsia="en-US"/>
        </w:rPr>
      </w:pPr>
    </w:p>
    <w:p w:rsidR="000E6FD9" w:rsidRDefault="00233458" w:rsidP="00B01B13">
      <w:pPr>
        <w:pStyle w:val="2"/>
        <w:numPr>
          <w:ilvl w:val="1"/>
          <w:numId w:val="12"/>
        </w:numPr>
        <w:tabs>
          <w:tab w:val="left" w:pos="1134"/>
        </w:tabs>
        <w:spacing w:before="120" w:after="120" w:line="360" w:lineRule="auto"/>
        <w:ind w:left="0" w:firstLine="567"/>
        <w:rPr>
          <w:rFonts w:ascii="Arial" w:hAnsi="Arial" w:cs="Arial"/>
          <w:b/>
          <w:color w:val="auto"/>
          <w:lang w:eastAsia="en-US"/>
        </w:rPr>
      </w:pPr>
      <w:bookmarkStart w:id="33" w:name="_Toc40995904"/>
      <w:r>
        <w:rPr>
          <w:rFonts w:ascii="Arial" w:hAnsi="Arial" w:cs="Arial"/>
          <w:b/>
          <w:color w:val="auto"/>
          <w:lang w:eastAsia="en-US"/>
        </w:rPr>
        <w:t>Хранение изолированного общего белка</w:t>
      </w:r>
      <w:bookmarkEnd w:id="33"/>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Необходимо следовать специальным инструкциям, предоставленным поставщиком с комплектом для хранения изолированного белка.Там, где инструкции поставщика исследования являются более строгими, чем конкретные инструкции, предоставляемые поставщиком комплекта изолированного белка, </w:t>
      </w:r>
      <w:r>
        <w:rPr>
          <w:rFonts w:ascii="Arial" w:eastAsiaTheme="minorHAnsi" w:hAnsi="Arial" w:cs="Arial"/>
          <w:lang w:eastAsia="en-US"/>
        </w:rPr>
        <w:lastRenderedPageBreak/>
        <w:t>например, более низкая температура, инструкции поставщика исследования должны быть соблюдены.</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Если нет никакой информации от поставщика набора для изоляции белков или если используются собственные валидированные процедуры по иоляции белков в лаборатории, то изолированные белки должны быть немедленно проанализированы. В тех случаях, когда белок не может быть проанализирован немедленно, лаборатория должна иметь проверенные процедуры по его хранению.</w:t>
      </w:r>
    </w:p>
    <w:p w:rsidR="000E6FD9" w:rsidRDefault="00233458" w:rsidP="00A53C26">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ПРИМЕЧАНИЕ 1 Хранение в растворе на мокром льду в течение короткого периода времени (т.е. 2ч.) может быть целесообразным в определённых обстоятельствах.</w:t>
      </w:r>
    </w:p>
    <w:p w:rsidR="000E6FD9" w:rsidRDefault="000E6FD9" w:rsidP="00A53C26">
      <w:pPr>
        <w:spacing w:line="360" w:lineRule="auto"/>
        <w:ind w:firstLine="567"/>
        <w:jc w:val="both"/>
        <w:rPr>
          <w:rFonts w:ascii="Arial" w:eastAsiaTheme="minorHAnsi" w:hAnsi="Arial" w:cs="Arial"/>
          <w:lang w:eastAsia="en-US"/>
        </w:rPr>
      </w:pP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Хранение для долгосрочных целей (т.е. в течение нескольких лет) должно быть при температуре &lt;-70 °</w:t>
      </w:r>
      <w:r>
        <w:rPr>
          <w:rFonts w:ascii="Arial" w:eastAsiaTheme="minorHAnsi" w:hAnsi="Arial" w:cs="Arial"/>
          <w:lang w:eastAsia="en-US" w:bidi="en-US"/>
        </w:rPr>
        <w:t>C</w:t>
      </w:r>
      <w:r>
        <w:rPr>
          <w:rFonts w:ascii="Arial" w:eastAsiaTheme="minorHAnsi" w:hAnsi="Arial" w:cs="Arial"/>
          <w:lang w:eastAsia="en-US"/>
        </w:rPr>
        <w:t>. Также могут быть использованы другие утверждённые методы для архивирования.</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При длительном хранении, аликвоты выделенного белка должны быть сформированы таким образом, чтобы избежать повторного замораживания и оттаивания. Избегайте более чем двух циклов замораживания-оттаивания. При лиофилизации белки могут храниться в течение нескольких лет от 4 °C до -20 °</w:t>
      </w:r>
      <w:r>
        <w:rPr>
          <w:rFonts w:ascii="Arial" w:eastAsiaTheme="minorHAnsi" w:hAnsi="Arial" w:cs="Arial"/>
          <w:lang w:eastAsia="en-US" w:bidi="en-US"/>
        </w:rPr>
        <w:t>C</w:t>
      </w:r>
      <w:r>
        <w:rPr>
          <w:rFonts w:ascii="Arial" w:eastAsiaTheme="minorHAnsi" w:hAnsi="Arial" w:cs="Arial"/>
          <w:lang w:eastAsia="en-US"/>
        </w:rPr>
        <w:t>.</w:t>
      </w:r>
    </w:p>
    <w:p w:rsidR="000E6FD9" w:rsidRDefault="00233458" w:rsidP="00A53C26">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ПРИМЕЧАНИЕ 2 На стабильность белка влияют такие факторы, как циклы замораживания/оттаивании, </w:t>
      </w:r>
      <w:r>
        <w:rPr>
          <w:rFonts w:ascii="Arial" w:eastAsiaTheme="minorHAnsi" w:hAnsi="Arial" w:cs="Arial"/>
          <w:sz w:val="20"/>
          <w:szCs w:val="20"/>
          <w:lang w:eastAsia="en-US" w:bidi="en-US"/>
        </w:rPr>
        <w:t>pH</w:t>
      </w:r>
      <w:r>
        <w:rPr>
          <w:rFonts w:ascii="Arial" w:eastAsiaTheme="minorHAnsi" w:hAnsi="Arial" w:cs="Arial"/>
          <w:sz w:val="20"/>
          <w:szCs w:val="20"/>
          <w:lang w:eastAsia="en-US"/>
        </w:rPr>
        <w:t>, концентрации белка, солевые условия и другие. Оптимальные условия для хранения конкретных белков могут варьироваться от белка к белку.</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Следует избегать непреднамеренной сублимационной сушки выделенного белка при длительном хранении из-за испарения воды, так как белки могут деградировать и извлечение из сосуда для хранения может быть затруднено или даже невозможно. Поэтому следует использовать соответствующие ёмкости для хранения, такие как криогенное флаконы, чтобы избежать испарения воды при хранении, а тип и колпачок должны быть задокументированны. </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lastRenderedPageBreak/>
        <w:t>При длительном хранении должен быть установлен валидированный процесс для организации и уникальной маркировки сосуда для хранения, содержащего в себе изолированный белок или аликвоты, полученные из него.</w:t>
      </w:r>
    </w:p>
    <w:p w:rsidR="000E6FD9" w:rsidRDefault="00233458" w:rsidP="00A53C26">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Прослеживаемость должна обеспечиваться, например, с помощью считываемых </w:t>
      </w:r>
      <w:r>
        <w:rPr>
          <w:rFonts w:ascii="Arial" w:eastAsiaTheme="minorHAnsi" w:hAnsi="Arial" w:cs="Arial"/>
          <w:lang w:eastAsia="en-US" w:bidi="en-US"/>
        </w:rPr>
        <w:t>RFID</w:t>
      </w:r>
      <w:r>
        <w:rPr>
          <w:rFonts w:ascii="Arial" w:eastAsiaTheme="minorHAnsi" w:hAnsi="Arial" w:cs="Arial"/>
          <w:lang w:eastAsia="en-US"/>
        </w:rPr>
        <w:t xml:space="preserve">, </w:t>
      </w:r>
      <w:r>
        <w:rPr>
          <w:rFonts w:ascii="Arial" w:eastAsiaTheme="minorHAnsi" w:hAnsi="Arial" w:cs="Arial"/>
          <w:lang w:eastAsia="en-US" w:bidi="en-US"/>
        </w:rPr>
        <w:t>ID</w:t>
      </w:r>
      <w:r>
        <w:rPr>
          <w:rFonts w:ascii="Arial" w:eastAsiaTheme="minorHAnsi" w:hAnsi="Arial" w:cs="Arial"/>
          <w:lang w:eastAsia="en-US"/>
        </w:rPr>
        <w:t>- или 2</w:t>
      </w:r>
      <w:r>
        <w:rPr>
          <w:rFonts w:ascii="Arial" w:eastAsiaTheme="minorHAnsi" w:hAnsi="Arial" w:cs="Arial"/>
          <w:lang w:eastAsia="en-US" w:bidi="en-US"/>
        </w:rPr>
        <w:t>D</w:t>
      </w:r>
      <w:r>
        <w:rPr>
          <w:rFonts w:ascii="Arial" w:eastAsiaTheme="minorHAnsi" w:hAnsi="Arial" w:cs="Arial"/>
          <w:lang w:eastAsia="en-US"/>
        </w:rPr>
        <w:t>-штрих-кодов или предварительно промытых ёмкости для хранения с уникальными кодами, предоставленными производителями, пригодными для низких температур.</w:t>
      </w:r>
    </w:p>
    <w:p w:rsidR="000E6FD9" w:rsidRDefault="00233458">
      <w:pPr>
        <w:suppressAutoHyphens w:val="0"/>
        <w:rPr>
          <w:rFonts w:ascii="Arial" w:eastAsiaTheme="minorHAnsi" w:hAnsi="Arial" w:cs="Arial"/>
          <w:lang w:eastAsia="en-US"/>
        </w:rPr>
      </w:pPr>
      <w:r>
        <w:rPr>
          <w:rFonts w:ascii="Arial" w:eastAsiaTheme="minorHAnsi" w:hAnsi="Arial" w:cs="Arial"/>
          <w:lang w:eastAsia="en-US"/>
        </w:rPr>
        <w:br w:type="page"/>
      </w:r>
    </w:p>
    <w:p w:rsidR="000E6FD9" w:rsidRPr="00233458" w:rsidRDefault="00233458">
      <w:pPr>
        <w:pStyle w:val="1"/>
        <w:spacing w:before="0"/>
        <w:jc w:val="center"/>
        <w:rPr>
          <w:rFonts w:ascii="Arial" w:hAnsi="Arial" w:cs="Arial"/>
          <w:color w:val="auto"/>
          <w:sz w:val="24"/>
          <w:szCs w:val="24"/>
        </w:rPr>
      </w:pPr>
      <w:bookmarkStart w:id="34" w:name="_Toc40995905"/>
      <w:r w:rsidRPr="00233458">
        <w:rPr>
          <w:rFonts w:ascii="Arial" w:hAnsi="Arial" w:cs="Arial"/>
          <w:color w:val="auto"/>
          <w:sz w:val="24"/>
          <w:szCs w:val="24"/>
        </w:rPr>
        <w:lastRenderedPageBreak/>
        <w:t>Приложение А</w:t>
      </w:r>
      <w:bookmarkEnd w:id="34"/>
    </w:p>
    <w:p w:rsidR="000E6FD9" w:rsidRPr="00233458" w:rsidRDefault="00233458">
      <w:pPr>
        <w:pStyle w:val="1"/>
        <w:spacing w:before="0"/>
        <w:jc w:val="center"/>
        <w:rPr>
          <w:rFonts w:ascii="Arial" w:hAnsi="Arial" w:cs="Arial"/>
          <w:b w:val="0"/>
          <w:color w:val="auto"/>
          <w:sz w:val="24"/>
          <w:szCs w:val="24"/>
        </w:rPr>
      </w:pPr>
      <w:bookmarkStart w:id="35" w:name="_Toc40995906"/>
      <w:r w:rsidRPr="00233458">
        <w:rPr>
          <w:rFonts w:ascii="Arial" w:hAnsi="Arial" w:cs="Arial"/>
          <w:b w:val="0"/>
          <w:color w:val="auto"/>
          <w:sz w:val="24"/>
          <w:szCs w:val="24"/>
        </w:rPr>
        <w:t>(информационное)</w:t>
      </w:r>
      <w:bookmarkEnd w:id="35"/>
    </w:p>
    <w:p w:rsidR="000E6FD9" w:rsidRPr="00233458" w:rsidRDefault="00233458">
      <w:pPr>
        <w:pStyle w:val="1"/>
        <w:spacing w:before="0"/>
        <w:jc w:val="center"/>
        <w:rPr>
          <w:rFonts w:ascii="Arial" w:hAnsi="Arial" w:cs="Arial"/>
          <w:color w:val="auto"/>
          <w:sz w:val="24"/>
          <w:szCs w:val="24"/>
        </w:rPr>
      </w:pPr>
      <w:bookmarkStart w:id="36" w:name="_Toc40995907"/>
      <w:r w:rsidRPr="00233458">
        <w:rPr>
          <w:rFonts w:ascii="Arial" w:hAnsi="Arial" w:cs="Arial"/>
          <w:color w:val="auto"/>
          <w:sz w:val="24"/>
          <w:szCs w:val="24"/>
        </w:rPr>
        <w:t>Исследование белка демонстрирует изменение его количество во время критического хранения</w:t>
      </w:r>
      <w:bookmarkEnd w:id="36"/>
    </w:p>
    <w:p w:rsidR="000E6FD9" w:rsidRDefault="000E6FD9">
      <w:pPr>
        <w:suppressAutoHyphens w:val="0"/>
        <w:rPr>
          <w:rFonts w:ascii="Arial" w:eastAsiaTheme="minorHAnsi" w:hAnsi="Arial" w:cs="Arial"/>
          <w:b/>
          <w:lang w:eastAsia="en-US"/>
        </w:rPr>
      </w:pPr>
    </w:p>
    <w:p w:rsidR="000E6FD9" w:rsidRDefault="00233458" w:rsidP="00233458">
      <w:pPr>
        <w:suppressAutoHyphens w:val="0"/>
        <w:spacing w:line="360" w:lineRule="auto"/>
        <w:ind w:firstLine="567"/>
        <w:rPr>
          <w:rFonts w:ascii="Arial" w:eastAsiaTheme="minorHAnsi" w:hAnsi="Arial" w:cs="Arial"/>
          <w:b/>
          <w:lang w:eastAsia="en-US"/>
        </w:rPr>
      </w:pPr>
      <w:r>
        <w:rPr>
          <w:rFonts w:ascii="Arial" w:eastAsiaTheme="minorHAnsi" w:hAnsi="Arial" w:cs="Arial"/>
          <w:b/>
          <w:lang w:eastAsia="en-US"/>
        </w:rPr>
        <w:t>А.1 Введение</w:t>
      </w:r>
    </w:p>
    <w:p w:rsidR="000E6FD9" w:rsidRDefault="00233458" w:rsidP="00233458">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Фосфорилирование и дефосфорилирование являются ключевыми механизмами внутри- и межклеточной трансдукции сигналов и отражают состояние активации клетки. Идентификация специфических профилей фосфопротеинов используется для разработки целевой терапии против дерегулировочных сигнальных путей у онкологических больных. Однако знания о влиянии предиследовательских вариаций, таких как задержка времени фиксации формалина, на белковые и фосфопротеиновые изменение в образце очень ограничены.</w:t>
      </w:r>
    </w:p>
    <w:p w:rsidR="000E6FD9" w:rsidRDefault="00233458" w:rsidP="00233458">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Результаты этого исследования дают представления о вариационности среди пациентов, а также о изменениях белкового и фосфопротеинового профилей во клинических образцах тканей на этапе предварительного обследования. Используя в качестве примеров ткани кишечника и печени человека, данные этой экспериментальный работы, описанные ниже, ясно показывают, что необходимость в стандартизации сбора тканей </w:t>
      </w:r>
      <w:r>
        <w:rPr>
          <w:rFonts w:ascii="Arial" w:eastAsiaTheme="minorHAnsi" w:hAnsi="Arial" w:cs="Arial"/>
          <w:lang w:eastAsia="en-US" w:bidi="en-US"/>
        </w:rPr>
        <w:t>FFPE</w:t>
      </w:r>
      <w:r>
        <w:rPr>
          <w:rFonts w:ascii="Arial" w:eastAsiaTheme="minorHAnsi" w:hAnsi="Arial" w:cs="Arial"/>
          <w:lang w:eastAsia="en-US"/>
        </w:rPr>
        <w:t xml:space="preserve"> и последующего выделение и хранения белков и фосфопротеинов перед количественным исследованием. Этот процесс стандартизации включает в себя документирование продолжительности критического и некритического хранения. В то время как результаты для некритического хранения представлены в другом месте (смотрите дальнейшее прочтение), приведённые здесь данные указывают на то, что критическое хранение оказывает влияние на белковые профили. Таким образом, риск того, что из-за различий в продолжительности критического и некритического хранения и других параметров предварительного обследования, анализ исследования может быть ненадёжным и значимые биомаркеры для лечения пациентов могут быть пропущены или истолкованы неверно.</w:t>
      </w:r>
    </w:p>
    <w:p w:rsidR="000E6FD9" w:rsidRDefault="00233458" w:rsidP="00233458">
      <w:pPr>
        <w:suppressAutoHyphens w:val="0"/>
        <w:spacing w:line="360" w:lineRule="auto"/>
        <w:ind w:firstLine="567"/>
        <w:jc w:val="both"/>
        <w:rPr>
          <w:rFonts w:ascii="Arial" w:eastAsiaTheme="minorHAnsi" w:hAnsi="Arial" w:cs="Arial"/>
          <w:b/>
          <w:lang w:eastAsia="en-US"/>
        </w:rPr>
      </w:pPr>
      <w:r>
        <w:rPr>
          <w:rFonts w:ascii="Arial" w:eastAsiaTheme="minorHAnsi" w:hAnsi="Arial" w:cs="Arial"/>
          <w:b/>
          <w:lang w:eastAsia="en-US"/>
        </w:rPr>
        <w:lastRenderedPageBreak/>
        <w:t>A.2</w:t>
      </w:r>
      <w:r>
        <w:rPr>
          <w:rFonts w:ascii="Arial" w:eastAsiaTheme="minorHAnsi" w:hAnsi="Arial" w:cs="Arial"/>
          <w:b/>
          <w:lang w:eastAsia="en-US"/>
        </w:rPr>
        <w:tab/>
        <w:t>Пример</w:t>
      </w:r>
    </w:p>
    <w:p w:rsidR="000E6FD9" w:rsidRDefault="00233458" w:rsidP="00233458">
      <w:pPr>
        <w:suppressAutoHyphens w:val="0"/>
        <w:spacing w:line="360" w:lineRule="auto"/>
        <w:ind w:firstLine="567"/>
        <w:jc w:val="both"/>
        <w:rPr>
          <w:rFonts w:ascii="Arial" w:eastAsiaTheme="minorHAnsi" w:hAnsi="Arial" w:cs="Arial"/>
          <w:b/>
          <w:lang w:eastAsia="en-US"/>
        </w:rPr>
      </w:pPr>
      <w:r>
        <w:rPr>
          <w:rFonts w:ascii="Arial" w:eastAsiaTheme="minorHAnsi" w:hAnsi="Arial" w:cs="Arial"/>
          <w:b/>
          <w:lang w:eastAsia="en-US"/>
        </w:rPr>
        <w:t>A.2.1</w:t>
      </w:r>
      <w:r>
        <w:rPr>
          <w:rFonts w:ascii="Arial" w:eastAsiaTheme="minorHAnsi" w:hAnsi="Arial" w:cs="Arial"/>
          <w:b/>
          <w:lang w:eastAsia="en-US"/>
        </w:rPr>
        <w:tab/>
        <w:t>Общие сведения</w:t>
      </w:r>
    </w:p>
    <w:p w:rsidR="000E6FD9" w:rsidRDefault="00233458" w:rsidP="00233458">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Эксперименте с временным курсом, тканей кишечника и печени человека использовали для оценки влияния длительного некритического хранения на количество белков и фосфопротеинов в образцах до фиксации формалином. Полученные данные показали, что количество белка и фосфопротеина изменяется до того, как ткани стабилизируется при помощи фиксации стандартным буферным раствором формалина.</w:t>
      </w:r>
    </w:p>
    <w:p w:rsidR="000E6FD9" w:rsidRDefault="00233458" w:rsidP="00233458">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Эти изменения варьировались между различными пациентами и типами тканей. Например, повышенная регуляция фосфора с.42/44 митоген активированной протеинкиназы (</w:t>
      </w:r>
      <w:r>
        <w:rPr>
          <w:rFonts w:ascii="Arial" w:eastAsiaTheme="minorHAnsi" w:hAnsi="Arial" w:cs="Arial"/>
          <w:lang w:eastAsia="en-US" w:bidi="en-US"/>
        </w:rPr>
        <w:t>MAPK</w:t>
      </w:r>
      <w:r>
        <w:rPr>
          <w:rFonts w:ascii="Arial" w:eastAsiaTheme="minorHAnsi" w:hAnsi="Arial" w:cs="Arial"/>
          <w:lang w:eastAsia="en-US"/>
        </w:rPr>
        <w:t>) в образцах кишечника наблюдался у одних пациентов, но не у других. Эта ярко выраженная у одних пациентов вариативность не позволяла распознать общие тенденции внутри когорты пациентов в отношении восходящей или нисходящей регуляции большинства белков. Однако количество некоторых белков, таких как цитокератин 18, было значительно изменено по сравнению с индивидуальным исходным уровнем в образцах большинства пациентов после резекции. Напротив, было обнаружено, что количество глицеральдегид 3-фосфатдегидрогеназы (</w:t>
      </w:r>
      <w:r>
        <w:rPr>
          <w:rFonts w:ascii="Arial" w:eastAsiaTheme="minorHAnsi" w:hAnsi="Arial" w:cs="Arial"/>
          <w:lang w:eastAsia="en-US" w:bidi="en-US"/>
        </w:rPr>
        <w:t>GAPDH</w:t>
      </w:r>
      <w:r>
        <w:rPr>
          <w:rFonts w:ascii="Arial" w:eastAsiaTheme="minorHAnsi" w:hAnsi="Arial" w:cs="Arial"/>
          <w:lang w:eastAsia="en-US"/>
        </w:rPr>
        <w:t>) и Р-актина было стабильным в течение всего периода длительного критического хранения.</w:t>
      </w:r>
    </w:p>
    <w:p w:rsidR="000E6FD9" w:rsidRDefault="00233458" w:rsidP="00233458">
      <w:pPr>
        <w:suppressAutoHyphens w:val="0"/>
        <w:spacing w:line="360" w:lineRule="auto"/>
        <w:ind w:firstLine="567"/>
        <w:jc w:val="both"/>
        <w:rPr>
          <w:rFonts w:ascii="Arial" w:eastAsiaTheme="minorHAnsi" w:hAnsi="Arial" w:cs="Arial"/>
          <w:b/>
          <w:lang w:eastAsia="en-US"/>
        </w:rPr>
      </w:pPr>
      <w:r>
        <w:rPr>
          <w:rFonts w:ascii="Arial" w:eastAsiaTheme="minorHAnsi" w:hAnsi="Arial" w:cs="Arial"/>
          <w:b/>
          <w:lang w:eastAsia="en-US"/>
        </w:rPr>
        <w:t>A.2.2</w:t>
      </w:r>
      <w:r>
        <w:rPr>
          <w:rFonts w:ascii="Arial" w:eastAsiaTheme="minorHAnsi" w:hAnsi="Arial" w:cs="Arial"/>
          <w:b/>
          <w:lang w:eastAsia="en-US"/>
        </w:rPr>
        <w:tab/>
        <w:t>Экспериментальные процедуры</w:t>
      </w:r>
    </w:p>
    <w:p w:rsidR="000E6FD9" w:rsidRDefault="00233458" w:rsidP="00233458">
      <w:pPr>
        <w:suppressAutoHyphens w:val="0"/>
        <w:spacing w:line="360" w:lineRule="auto"/>
        <w:ind w:firstLine="567"/>
        <w:jc w:val="both"/>
        <w:rPr>
          <w:rFonts w:ascii="Arial" w:eastAsiaTheme="minorHAnsi" w:hAnsi="Arial" w:cs="Arial"/>
          <w:b/>
          <w:lang w:eastAsia="en-US"/>
        </w:rPr>
      </w:pPr>
      <w:r>
        <w:rPr>
          <w:rFonts w:ascii="Arial" w:eastAsiaTheme="minorHAnsi" w:hAnsi="Arial" w:cs="Arial"/>
          <w:b/>
          <w:lang w:val="en-US" w:eastAsia="en-US"/>
        </w:rPr>
        <w:t>A</w:t>
      </w:r>
      <w:r>
        <w:rPr>
          <w:rFonts w:ascii="Arial" w:eastAsiaTheme="minorHAnsi" w:hAnsi="Arial" w:cs="Arial"/>
          <w:b/>
          <w:lang w:eastAsia="en-US"/>
        </w:rPr>
        <w:t>.2.2.1 Общие сведения</w:t>
      </w:r>
    </w:p>
    <w:p w:rsidR="000E6FD9" w:rsidRDefault="00233458" w:rsidP="00233458">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Ткани кишечника и печени человека взяли в разных больницах, использую один и тот же рабочий процесс. Время между перевязкой сосуда (ti) и хирургической резекцией определяется как некритическое хранение (1). Время между хирургической резекцией и фиксацией формалином, как правило, время транспортировки (2) для патологической лаборатории определяется как критическое хранение </w:t>
      </w:r>
      <w:r>
        <w:rPr>
          <w:rFonts w:ascii="Cambria Math" w:eastAsia="Cambria Math" w:hAnsi="Cambria Math" w:cs="Cambria Math" w:hint="eastAsia"/>
          <w:lang w:eastAsia="en-US"/>
        </w:rPr>
        <w:t>(</w:t>
      </w:r>
      <w:r>
        <w:rPr>
          <w:rFonts w:ascii="Arial" w:eastAsiaTheme="minorHAnsi" w:hAnsi="Arial" w:cs="Arial"/>
          <w:lang w:eastAsia="en-US"/>
        </w:rPr>
        <w:t xml:space="preserve">4). В ходе эксперимента с экспериментальными задержками, формалиновая фиксация (3) и ts в качестве эталонного образца была выполнена на образцах, хранящихся во влажной камере при комнатной </w:t>
      </w:r>
      <w:r>
        <w:rPr>
          <w:rFonts w:ascii="Arial" w:eastAsiaTheme="minorHAnsi" w:hAnsi="Arial" w:cs="Arial"/>
          <w:lang w:eastAsia="en-US"/>
        </w:rPr>
        <w:lastRenderedPageBreak/>
        <w:t>температуре, которые через различные промежутки времени (^4 к ts)/ были фиксированны формалином и залиты парафином, в результате критического хранения (5).</w:t>
      </w:r>
    </w:p>
    <w:p w:rsidR="000E6FD9" w:rsidRDefault="000E6FD9" w:rsidP="00233458">
      <w:pPr>
        <w:suppressAutoHyphens w:val="0"/>
        <w:spacing w:line="360" w:lineRule="auto"/>
        <w:ind w:firstLine="567"/>
        <w:jc w:val="both"/>
        <w:rPr>
          <w:rFonts w:ascii="Arial" w:eastAsiaTheme="minorHAnsi" w:hAnsi="Arial" w:cs="Arial"/>
          <w:lang w:eastAsia="en-US"/>
        </w:rPr>
      </w:pPr>
    </w:p>
    <w:p w:rsidR="000E6FD9" w:rsidRDefault="00233458">
      <w:pPr>
        <w:suppressAutoHyphens w:val="0"/>
        <w:spacing w:line="360" w:lineRule="auto"/>
        <w:jc w:val="center"/>
        <w:rPr>
          <w:rFonts w:ascii="Arial" w:eastAsiaTheme="minorHAnsi" w:hAnsi="Arial" w:cs="Arial"/>
          <w:lang w:eastAsia="en-US"/>
        </w:rPr>
      </w:pPr>
      <w:r>
        <w:rPr>
          <w:rFonts w:ascii="Arial" w:eastAsiaTheme="minorHAnsi" w:hAnsi="Arial" w:cs="Arial"/>
          <w:noProof/>
        </w:rPr>
        <w:drawing>
          <wp:inline distT="0" distB="0" distL="0" distR="0">
            <wp:extent cx="4038600" cy="21812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9"/>
                    <a:stretch>
                      <a:fillRect/>
                    </a:stretch>
                  </pic:blipFill>
                  <pic:spPr>
                    <a:xfrm>
                      <a:off x="0" y="0"/>
                      <a:ext cx="4039164" cy="2181529"/>
                    </a:xfrm>
                    <a:prstGeom prst="rect">
                      <a:avLst/>
                    </a:prstGeom>
                  </pic:spPr>
                </pic:pic>
              </a:graphicData>
            </a:graphic>
          </wp:inline>
        </w:drawing>
      </w:r>
    </w:p>
    <w:p w:rsidR="00233458" w:rsidRDefault="00233458" w:rsidP="00233458">
      <w:pPr>
        <w:pStyle w:val="Picturecaption10"/>
        <w:shd w:val="clear" w:color="auto" w:fill="auto"/>
        <w:jc w:val="center"/>
        <w:rPr>
          <w:rFonts w:ascii="Arial" w:hAnsi="Arial" w:cs="Arial"/>
        </w:rPr>
      </w:pPr>
      <w:proofErr w:type="gramStart"/>
      <w:r>
        <w:rPr>
          <w:rFonts w:ascii="Arial" w:hAnsi="Arial" w:cs="Arial"/>
        </w:rPr>
        <w:t xml:space="preserve">1 – некритическое хранение; 2 – транспортировка; </w:t>
      </w:r>
      <w:r w:rsidRPr="00233458">
        <w:rPr>
          <w:rFonts w:ascii="Arial" w:hAnsi="Arial" w:cs="Arial"/>
        </w:rPr>
        <w:t xml:space="preserve">3 – экспериментальная задержка фиксации формалином; 4 – критическое хранение; 5 – экспериментально отсроченное критическое хранение; 6 – различные временные точки в лаборатории до формалиновой фиксации; 7 – молекулярное исследование; </w:t>
      </w:r>
      <w:r w:rsidRPr="00233458">
        <w:rPr>
          <w:rFonts w:ascii="Arial" w:hAnsi="Arial" w:cs="Arial"/>
          <w:i/>
          <w:iCs/>
        </w:rPr>
        <w:t>t</w:t>
      </w:r>
      <w:r w:rsidRPr="00233458">
        <w:rPr>
          <w:rFonts w:ascii="Arial" w:hAnsi="Arial" w:cs="Arial"/>
        </w:rPr>
        <w:t xml:space="preserve"> – время</w:t>
      </w:r>
      <w:r>
        <w:rPr>
          <w:rFonts w:ascii="Arial" w:hAnsi="Arial" w:cs="Arial"/>
        </w:rPr>
        <w:t xml:space="preserve">; </w:t>
      </w:r>
      <w:proofErr w:type="spellStart"/>
      <w:r>
        <w:rPr>
          <w:rFonts w:ascii="Arial" w:hAnsi="Arial" w:cs="Arial"/>
        </w:rPr>
        <w:t>to</w:t>
      </w:r>
      <w:proofErr w:type="spellEnd"/>
      <w:r>
        <w:rPr>
          <w:rFonts w:ascii="Arial" w:hAnsi="Arial" w:cs="Arial"/>
        </w:rPr>
        <w:t xml:space="preserve"> – время начала операции; </w:t>
      </w:r>
      <w:proofErr w:type="spellStart"/>
      <w:r>
        <w:rPr>
          <w:rFonts w:ascii="Arial" w:hAnsi="Arial" w:cs="Arial"/>
        </w:rPr>
        <w:t>ti</w:t>
      </w:r>
      <w:proofErr w:type="spellEnd"/>
      <w:r>
        <w:rPr>
          <w:rFonts w:ascii="Arial" w:hAnsi="Arial" w:cs="Arial"/>
        </w:rPr>
        <w:t xml:space="preserve"> – перевязка сосуда; </w:t>
      </w:r>
      <w:r>
        <w:rPr>
          <w:rFonts w:ascii="Arial" w:hAnsi="Arial" w:cs="Arial"/>
          <w:i/>
          <w:iCs/>
        </w:rPr>
        <w:t>t2</w:t>
      </w:r>
      <w:r>
        <w:rPr>
          <w:rFonts w:ascii="Arial" w:hAnsi="Arial" w:cs="Arial"/>
        </w:rPr>
        <w:t xml:space="preserve"> – хирургическая резекция; </w:t>
      </w:r>
      <w:proofErr w:type="spellStart"/>
      <w:r>
        <w:rPr>
          <w:rFonts w:ascii="Arial" w:hAnsi="Arial" w:cs="Arial"/>
          <w:i/>
          <w:iCs/>
        </w:rPr>
        <w:t>tz</w:t>
      </w:r>
      <w:proofErr w:type="spellEnd"/>
      <w:r>
        <w:rPr>
          <w:rFonts w:ascii="Arial" w:hAnsi="Arial" w:cs="Arial"/>
        </w:rPr>
        <w:t xml:space="preserve"> – формалиновая фиксация эталонной пробы; </w:t>
      </w:r>
      <w:r>
        <w:rPr>
          <w:rFonts w:ascii="Arial" w:hAnsi="Arial" w:cs="Arial"/>
          <w:i/>
          <w:iCs/>
        </w:rPr>
        <w:t>t4</w:t>
      </w:r>
      <w:r>
        <w:rPr>
          <w:rFonts w:ascii="Arial" w:hAnsi="Arial" w:cs="Arial"/>
        </w:rPr>
        <w:t xml:space="preserve"> – формалиновая фиксация пробы 1;</w:t>
      </w:r>
      <w:proofErr w:type="gramEnd"/>
      <w:r>
        <w:rPr>
          <w:rFonts w:ascii="Arial" w:hAnsi="Arial" w:cs="Arial"/>
        </w:rPr>
        <w:t xml:space="preserve"> </w:t>
      </w:r>
      <w:r>
        <w:rPr>
          <w:rFonts w:ascii="Arial" w:hAnsi="Arial" w:cs="Arial"/>
        </w:rPr>
        <w:br/>
      </w:r>
      <w:proofErr w:type="spellStart"/>
      <w:r>
        <w:rPr>
          <w:rFonts w:ascii="Arial" w:hAnsi="Arial" w:cs="Arial"/>
        </w:rPr>
        <w:t>ts</w:t>
      </w:r>
      <w:proofErr w:type="spellEnd"/>
      <w:r>
        <w:rPr>
          <w:rFonts w:ascii="Arial" w:hAnsi="Arial" w:cs="Arial"/>
        </w:rPr>
        <w:t xml:space="preserve"> – формалиновая фиксация пробы 2; t6 – формалиновая фиксация пробы 3; </w:t>
      </w:r>
      <w:proofErr w:type="spellStart"/>
      <w:r>
        <w:rPr>
          <w:rFonts w:ascii="Arial" w:hAnsi="Arial" w:cs="Arial"/>
          <w:i/>
          <w:iCs/>
        </w:rPr>
        <w:t>ty</w:t>
      </w:r>
      <w:proofErr w:type="spellEnd"/>
      <w:r>
        <w:rPr>
          <w:rFonts w:ascii="Arial" w:hAnsi="Arial" w:cs="Arial"/>
        </w:rPr>
        <w:t xml:space="preserve"> – формалиновая фиксация пробы 4; </w:t>
      </w:r>
      <w:proofErr w:type="spellStart"/>
      <w:r>
        <w:rPr>
          <w:rFonts w:ascii="Arial" w:hAnsi="Arial" w:cs="Arial"/>
          <w:i/>
          <w:iCs/>
        </w:rPr>
        <w:t>ts</w:t>
      </w:r>
      <w:proofErr w:type="spellEnd"/>
      <w:r>
        <w:rPr>
          <w:rFonts w:ascii="Arial" w:hAnsi="Arial" w:cs="Arial"/>
        </w:rPr>
        <w:t xml:space="preserve"> – формалиновая фиксация пробы 5</w:t>
      </w:r>
    </w:p>
    <w:p w:rsidR="000E6FD9" w:rsidRDefault="00233458">
      <w:pPr>
        <w:suppressAutoHyphens w:val="0"/>
        <w:spacing w:line="360" w:lineRule="auto"/>
        <w:jc w:val="center"/>
        <w:rPr>
          <w:rFonts w:ascii="Arial" w:eastAsiaTheme="minorHAnsi" w:hAnsi="Arial" w:cs="Arial"/>
          <w:b/>
          <w:sz w:val="20"/>
          <w:szCs w:val="20"/>
          <w:lang w:eastAsia="en-US"/>
        </w:rPr>
      </w:pPr>
      <w:r>
        <w:rPr>
          <w:rFonts w:ascii="Arial" w:eastAsiaTheme="minorHAnsi" w:hAnsi="Arial" w:cs="Arial"/>
          <w:b/>
          <w:sz w:val="20"/>
          <w:szCs w:val="20"/>
          <w:lang w:eastAsia="en-US"/>
        </w:rPr>
        <w:t>Рисунок A.1 — Обзор сбора тканей</w:t>
      </w:r>
    </w:p>
    <w:p w:rsidR="000E6FD9" w:rsidRDefault="000E6FD9" w:rsidP="00233458">
      <w:pPr>
        <w:suppressAutoHyphens w:val="0"/>
        <w:spacing w:line="360" w:lineRule="auto"/>
        <w:ind w:firstLine="567"/>
        <w:jc w:val="both"/>
        <w:rPr>
          <w:rFonts w:ascii="Arial" w:eastAsiaTheme="minorHAnsi" w:hAnsi="Arial" w:cs="Arial"/>
          <w:lang w:eastAsia="en-US"/>
        </w:rPr>
      </w:pPr>
    </w:p>
    <w:p w:rsidR="000E6FD9" w:rsidRDefault="00233458" w:rsidP="00233458">
      <w:pPr>
        <w:suppressAutoHyphens w:val="0"/>
        <w:spacing w:line="360" w:lineRule="auto"/>
        <w:ind w:firstLine="567"/>
        <w:jc w:val="both"/>
        <w:rPr>
          <w:rFonts w:ascii="Arial" w:eastAsiaTheme="minorHAnsi" w:hAnsi="Arial" w:cs="Arial"/>
          <w:b/>
          <w:lang w:eastAsia="en-US"/>
        </w:rPr>
      </w:pPr>
      <w:r>
        <w:rPr>
          <w:rFonts w:ascii="Arial" w:eastAsiaTheme="minorHAnsi" w:hAnsi="Arial" w:cs="Arial"/>
          <w:b/>
          <w:lang w:val="en-US" w:eastAsia="en-US"/>
        </w:rPr>
        <w:t>A</w:t>
      </w:r>
      <w:r>
        <w:rPr>
          <w:rFonts w:ascii="Arial" w:eastAsiaTheme="minorHAnsi" w:hAnsi="Arial" w:cs="Arial"/>
          <w:b/>
          <w:lang w:eastAsia="en-US"/>
        </w:rPr>
        <w:t>.2.2.2 Ткани</w:t>
      </w:r>
    </w:p>
    <w:p w:rsidR="000E6FD9" w:rsidRDefault="00233458" w:rsidP="00233458">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Для изучения влияния деятельности критического хранения на количество белка и фосфопротеинов, во время обыденных хирургических вмешательств отбирали доброкачественные образцы кишечника и печени человека. Образцы были транспортированы при комнатной температуре в Институт патологии из различных больниц для дальнейшей обработки. Каждый образец был разделён на пробы минимального размера 5 мм </w:t>
      </w:r>
      <w:r>
        <w:rPr>
          <w:rFonts w:ascii="Arial" w:eastAsiaTheme="minorHAnsi" w:hAnsi="Arial" w:cs="Arial"/>
          <w:lang w:eastAsia="en-US" w:bidi="en-US"/>
        </w:rPr>
        <w:t>x</w:t>
      </w:r>
      <w:r>
        <w:rPr>
          <w:rFonts w:ascii="Arial" w:eastAsiaTheme="minorHAnsi" w:hAnsi="Arial" w:cs="Arial"/>
          <w:lang w:eastAsia="en-US"/>
        </w:rPr>
        <w:t xml:space="preserve"> 5 мм </w:t>
      </w:r>
      <w:r>
        <w:rPr>
          <w:rFonts w:ascii="Arial" w:eastAsiaTheme="minorHAnsi" w:hAnsi="Arial" w:cs="Arial"/>
          <w:lang w:eastAsia="en-US" w:bidi="en-US"/>
        </w:rPr>
        <w:t>x</w:t>
      </w:r>
      <w:r>
        <w:rPr>
          <w:rFonts w:ascii="Arial" w:eastAsiaTheme="minorHAnsi" w:hAnsi="Arial" w:cs="Arial"/>
          <w:lang w:eastAsia="en-US"/>
        </w:rPr>
        <w:t xml:space="preserve"> 5 мм и помещен в стандартный буферный раствор формалина. Эталонный образец фиксировался сразу же после поступления патологоанатомическую лабораторию. Все остальные пробы </w:t>
      </w:r>
      <w:r>
        <w:rPr>
          <w:rFonts w:ascii="Arial" w:eastAsiaTheme="minorHAnsi" w:hAnsi="Arial" w:cs="Arial"/>
          <w:lang w:eastAsia="en-US"/>
        </w:rPr>
        <w:lastRenderedPageBreak/>
        <w:t>выдерживали во влажной камере при комнатной температуре от 30 мин. до 360 мин., имитируя экспериментальную задержку формалинизации и заливки парафином (</w:t>
      </w:r>
      <w:r>
        <w:rPr>
          <w:rFonts w:ascii="Arial" w:eastAsiaTheme="minorHAnsi" w:hAnsi="Arial" w:cs="Arial"/>
          <w:lang w:eastAsia="en-US" w:bidi="en-US"/>
        </w:rPr>
        <w:t>Рисунок</w:t>
      </w:r>
      <w:r>
        <w:rPr>
          <w:rFonts w:ascii="Arial" w:eastAsiaTheme="minorHAnsi" w:hAnsi="Arial" w:cs="Arial"/>
          <w:lang w:eastAsia="en-US"/>
        </w:rPr>
        <w:t xml:space="preserve"> </w:t>
      </w:r>
      <w:r>
        <w:rPr>
          <w:rFonts w:ascii="Arial" w:eastAsiaTheme="minorHAnsi" w:hAnsi="Arial" w:cs="Arial"/>
          <w:u w:val="single"/>
          <w:lang w:eastAsia="en-US" w:bidi="en-US"/>
        </w:rPr>
        <w:t>A</w:t>
      </w:r>
      <w:r>
        <w:rPr>
          <w:rFonts w:ascii="Arial" w:eastAsiaTheme="minorHAnsi" w:hAnsi="Arial" w:cs="Arial"/>
          <w:u w:val="single"/>
          <w:lang w:eastAsia="en-US"/>
        </w:rPr>
        <w:t>.1</w:t>
      </w:r>
      <w:r>
        <w:rPr>
          <w:rFonts w:ascii="Arial" w:eastAsiaTheme="minorHAnsi" w:hAnsi="Arial" w:cs="Arial"/>
          <w:lang w:eastAsia="en-US"/>
        </w:rPr>
        <w:t>).</w:t>
      </w:r>
    </w:p>
    <w:p w:rsidR="000E6FD9" w:rsidRDefault="00233458" w:rsidP="00233458">
      <w:pPr>
        <w:suppressAutoHyphens w:val="0"/>
        <w:spacing w:before="120" w:after="120" w:line="360" w:lineRule="auto"/>
        <w:ind w:firstLine="567"/>
        <w:jc w:val="both"/>
        <w:rPr>
          <w:rFonts w:ascii="Arial" w:eastAsiaTheme="minorHAnsi" w:hAnsi="Arial" w:cs="Arial"/>
          <w:b/>
          <w:lang w:eastAsia="en-US"/>
        </w:rPr>
      </w:pPr>
      <w:r>
        <w:rPr>
          <w:rFonts w:ascii="Arial" w:eastAsiaTheme="minorHAnsi" w:hAnsi="Arial" w:cs="Arial"/>
          <w:b/>
          <w:lang w:val="en-US" w:eastAsia="en-US"/>
        </w:rPr>
        <w:t>A</w:t>
      </w:r>
      <w:r>
        <w:rPr>
          <w:rFonts w:ascii="Arial" w:eastAsiaTheme="minorHAnsi" w:hAnsi="Arial" w:cs="Arial"/>
          <w:b/>
          <w:lang w:eastAsia="en-US"/>
        </w:rPr>
        <w:t>.2.2.3 Исследование белков</w:t>
      </w:r>
    </w:p>
    <w:p w:rsidR="000E6FD9" w:rsidRDefault="00233458" w:rsidP="00233458">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Обратная белковая фаза (RPPA) и исследование вестерн-блот применялись в качестве целевых подходов для анализа отдельных белков и определения количества форсированных белков. Используемые антитела приведены в Таблице</w:t>
      </w:r>
    </w:p>
    <w:p w:rsidR="000E6FD9" w:rsidRDefault="000E6FD9" w:rsidP="00233458">
      <w:pPr>
        <w:suppressAutoHyphens w:val="0"/>
        <w:spacing w:line="360" w:lineRule="auto"/>
        <w:ind w:firstLine="567"/>
        <w:jc w:val="both"/>
        <w:rPr>
          <w:rFonts w:ascii="Arial" w:eastAsiaTheme="minorHAnsi" w:hAnsi="Arial" w:cs="Arial"/>
          <w:lang w:eastAsia="en-US"/>
        </w:rPr>
      </w:pPr>
    </w:p>
    <w:p w:rsidR="000E6FD9" w:rsidRPr="00233458" w:rsidRDefault="00233458" w:rsidP="00233458">
      <w:pPr>
        <w:suppressAutoHyphens w:val="0"/>
        <w:spacing w:line="360" w:lineRule="auto"/>
        <w:rPr>
          <w:rFonts w:ascii="Arial" w:eastAsiaTheme="minorHAnsi" w:hAnsi="Arial" w:cs="Arial"/>
          <w:bCs/>
          <w:sz w:val="22"/>
          <w:szCs w:val="22"/>
          <w:lang w:eastAsia="en-US"/>
        </w:rPr>
      </w:pPr>
      <w:r w:rsidRPr="00233458">
        <w:rPr>
          <w:rFonts w:ascii="Arial" w:eastAsiaTheme="minorHAnsi" w:hAnsi="Arial" w:cs="Arial"/>
          <w:bCs/>
          <w:sz w:val="22"/>
          <w:szCs w:val="22"/>
          <w:lang w:eastAsia="en-US"/>
        </w:rPr>
        <w:t xml:space="preserve">Таблица </w:t>
      </w:r>
      <w:r w:rsidRPr="00233458">
        <w:rPr>
          <w:rFonts w:ascii="Arial" w:eastAsiaTheme="minorHAnsi" w:hAnsi="Arial" w:cs="Arial"/>
          <w:bCs/>
          <w:sz w:val="22"/>
          <w:szCs w:val="22"/>
          <w:lang w:eastAsia="en-US" w:bidi="en-US"/>
        </w:rPr>
        <w:t>A</w:t>
      </w:r>
      <w:r w:rsidRPr="00233458">
        <w:rPr>
          <w:rFonts w:ascii="Arial" w:eastAsiaTheme="minorHAnsi" w:hAnsi="Arial" w:cs="Arial"/>
          <w:bCs/>
          <w:sz w:val="22"/>
          <w:szCs w:val="22"/>
          <w:lang w:eastAsia="en-US"/>
        </w:rPr>
        <w:t xml:space="preserve">.1 </w:t>
      </w:r>
      <w:r w:rsidRPr="00233458">
        <w:rPr>
          <w:rFonts w:ascii="Arial" w:eastAsiaTheme="minorHAnsi" w:hAnsi="Arial" w:cs="Arial"/>
          <w:bCs/>
          <w:sz w:val="22"/>
          <w:szCs w:val="22"/>
          <w:lang w:eastAsia="en-US" w:bidi="zh-CN"/>
        </w:rPr>
        <w:t xml:space="preserve">— </w:t>
      </w:r>
      <w:r w:rsidRPr="00233458">
        <w:rPr>
          <w:rFonts w:ascii="Arial" w:eastAsiaTheme="minorHAnsi" w:hAnsi="Arial" w:cs="Arial"/>
          <w:bCs/>
          <w:sz w:val="22"/>
          <w:szCs w:val="22"/>
          <w:lang w:eastAsia="en-US"/>
        </w:rPr>
        <w:t xml:space="preserve">Антитела, используемые для исследования </w:t>
      </w:r>
      <w:r w:rsidRPr="00233458">
        <w:rPr>
          <w:rFonts w:ascii="Arial" w:eastAsiaTheme="minorHAnsi" w:hAnsi="Arial" w:cs="Arial"/>
          <w:bCs/>
          <w:sz w:val="22"/>
          <w:szCs w:val="22"/>
          <w:lang w:eastAsia="en-US" w:bidi="en-US"/>
        </w:rPr>
        <w:t>RPPA</w:t>
      </w:r>
      <w:r w:rsidRPr="00233458">
        <w:rPr>
          <w:rFonts w:ascii="Arial" w:eastAsiaTheme="minorHAnsi" w:hAnsi="Arial" w:cs="Arial"/>
          <w:bCs/>
          <w:sz w:val="22"/>
          <w:szCs w:val="22"/>
          <w:lang w:eastAsia="en-US"/>
        </w:rPr>
        <w:t xml:space="preserve"> и вестерн-блот</w:t>
      </w:r>
    </w:p>
    <w:tbl>
      <w:tblPr>
        <w:tblW w:w="9758" w:type="dxa"/>
        <w:jc w:val="center"/>
        <w:tblLayout w:type="fixed"/>
        <w:tblLook w:val="04A0" w:firstRow="1" w:lastRow="0" w:firstColumn="1" w:lastColumn="0" w:noHBand="0" w:noVBand="1"/>
      </w:tblPr>
      <w:tblGrid>
        <w:gridCol w:w="5275"/>
        <w:gridCol w:w="1613"/>
        <w:gridCol w:w="2870"/>
      </w:tblGrid>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b/>
                <w:bCs/>
              </w:rPr>
              <w:t>Протеин (n = 23)</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b/>
                <w:bCs/>
              </w:rPr>
              <w:t>Species</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b/>
                <w:bCs/>
              </w:rPr>
              <w:t>Dilution</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Фосфо-PTEN [Сер380]</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ind w:firstLine="380"/>
              <w:jc w:val="both"/>
              <w:rPr>
                <w:rFonts w:ascii="Arial" w:hAnsi="Arial" w:cs="Arial"/>
              </w:rPr>
            </w:pPr>
            <w:r>
              <w:rPr>
                <w:rFonts w:ascii="Arial" w:hAnsi="Arial" w:cs="Arial"/>
              </w:rPr>
              <w:t>l:500/ 5 %BSA/TBST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PTEN</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ind w:firstLine="380"/>
              <w:jc w:val="both"/>
              <w:rPr>
                <w:rFonts w:ascii="Arial" w:hAnsi="Arial" w:cs="Arial"/>
              </w:rPr>
            </w:pPr>
            <w:r>
              <w:rPr>
                <w:rFonts w:ascii="Arial" w:hAnsi="Arial" w:cs="Arial"/>
              </w:rPr>
              <w:t>l:500/ 5 %BSA/TBST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Фосфо-Aкт</w:t>
            </w:r>
            <w:r>
              <w:rPr>
                <w:rFonts w:ascii="Arial" w:eastAsia="PMingLiU" w:hAnsi="Arial" w:cs="Arial"/>
              </w:rPr>
              <w:t>〔</w:t>
            </w:r>
            <w:r>
              <w:rPr>
                <w:rFonts w:ascii="Arial" w:eastAsia="PMingLiU" w:hAnsi="Arial" w:cs="Arial"/>
              </w:rPr>
              <w:t>Сер</w:t>
            </w:r>
            <w:r>
              <w:rPr>
                <w:rFonts w:ascii="Arial" w:hAnsi="Arial" w:cs="Arial"/>
              </w:rPr>
              <w:t>473)</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ind w:firstLine="380"/>
              <w:jc w:val="both"/>
              <w:rPr>
                <w:rFonts w:ascii="Arial" w:hAnsi="Arial" w:cs="Arial"/>
              </w:rPr>
            </w:pPr>
            <w:r>
              <w:rPr>
                <w:rFonts w:ascii="Arial" w:hAnsi="Arial" w:cs="Arial"/>
              </w:rPr>
              <w:t>l:500/ 5 %BSA/TBST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Акт</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 xml:space="preserve">1:1 000 / 5 </w:t>
            </w:r>
            <w:r>
              <w:rPr>
                <w:rFonts w:ascii="Arial" w:hAnsi="Arial" w:cs="Arial"/>
                <w:lang w:val="zh-CN" w:eastAsia="zh-CN" w:bidi="zh-CN"/>
              </w:rPr>
              <w:t xml:space="preserve">% </w:t>
            </w:r>
            <w:r>
              <w:rPr>
                <w:rFonts w:ascii="Arial" w:hAnsi="Arial" w:cs="Arial"/>
              </w:rPr>
              <w:t xml:space="preserve">BSA </w:t>
            </w:r>
            <w:r>
              <w:rPr>
                <w:rFonts w:ascii="Arial" w:hAnsi="Arial" w:cs="Arial"/>
                <w:lang w:val="zh-CN" w:eastAsia="zh-CN" w:bidi="zh-CN"/>
              </w:rPr>
              <w:t xml:space="preserve">/ </w:t>
            </w:r>
            <w:r>
              <w:rPr>
                <w:rFonts w:ascii="Arial" w:hAnsi="Arial" w:cs="Arial"/>
              </w:rPr>
              <w:t>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Фосфо-GSK-3бетa (Сер9]</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ind w:firstLine="380"/>
              <w:jc w:val="both"/>
              <w:rPr>
                <w:rFonts w:ascii="Arial" w:hAnsi="Arial" w:cs="Arial"/>
              </w:rPr>
            </w:pPr>
            <w:r>
              <w:rPr>
                <w:rFonts w:ascii="Arial" w:hAnsi="Arial" w:cs="Arial"/>
              </w:rPr>
              <w:t>l:500/ 5 %BSA/TBST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GSK-3бета</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ind w:firstLine="380"/>
              <w:jc w:val="both"/>
              <w:rPr>
                <w:rFonts w:ascii="Arial" w:hAnsi="Arial" w:cs="Arial"/>
              </w:rPr>
            </w:pPr>
            <w:r>
              <w:rPr>
                <w:rFonts w:ascii="Arial" w:hAnsi="Arial" w:cs="Arial"/>
              </w:rPr>
              <w:t xml:space="preserve">1:500/ 5 </w:t>
            </w:r>
            <w:r>
              <w:rPr>
                <w:rFonts w:ascii="Arial" w:hAnsi="Arial" w:cs="Arial"/>
                <w:lang w:val="zh-CN" w:eastAsia="zh-CN" w:bidi="zh-CN"/>
              </w:rPr>
              <w:t xml:space="preserve">% </w:t>
            </w:r>
            <w:r>
              <w:rPr>
                <w:rFonts w:ascii="Arial" w:hAnsi="Arial" w:cs="Arial"/>
              </w:rPr>
              <w:t>BSA/TBST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Фосфо-стр44/42 MAPK [Thr202/Tyr204]</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ind w:firstLine="380"/>
              <w:jc w:val="both"/>
              <w:rPr>
                <w:rFonts w:ascii="Arial" w:hAnsi="Arial" w:cs="Arial"/>
              </w:rPr>
            </w:pPr>
            <w:r>
              <w:rPr>
                <w:rFonts w:ascii="Arial" w:hAnsi="Arial" w:cs="Arial"/>
              </w:rPr>
              <w:t xml:space="preserve">1:500/ 5 </w:t>
            </w:r>
            <w:r>
              <w:rPr>
                <w:rFonts w:ascii="Arial" w:hAnsi="Arial" w:cs="Arial"/>
                <w:lang w:val="zh-CN" w:eastAsia="zh-CN" w:bidi="zh-CN"/>
              </w:rPr>
              <w:t xml:space="preserve">% </w:t>
            </w:r>
            <w:r>
              <w:rPr>
                <w:rFonts w:ascii="Arial" w:hAnsi="Arial" w:cs="Arial"/>
              </w:rPr>
              <w:t>BSA/TBST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р44/42 MAPK</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 xml:space="preserve">1:1 000 / 5 </w:t>
            </w:r>
            <w:r>
              <w:rPr>
                <w:rFonts w:ascii="Arial" w:hAnsi="Arial" w:cs="Arial"/>
                <w:lang w:val="zh-CN" w:eastAsia="zh-CN" w:bidi="zh-CN"/>
              </w:rPr>
              <w:t xml:space="preserve">% </w:t>
            </w:r>
            <w:r>
              <w:rPr>
                <w:rFonts w:ascii="Arial" w:hAnsi="Arial" w:cs="Arial"/>
              </w:rPr>
              <w:t xml:space="preserve">BSA </w:t>
            </w:r>
            <w:r>
              <w:rPr>
                <w:rFonts w:ascii="Arial" w:hAnsi="Arial" w:cs="Arial"/>
                <w:lang w:val="zh-CN" w:eastAsia="zh-CN" w:bidi="zh-CN"/>
              </w:rPr>
              <w:t xml:space="preserve">/ </w:t>
            </w:r>
            <w:r>
              <w:rPr>
                <w:rFonts w:ascii="Arial" w:hAnsi="Arial" w:cs="Arial"/>
              </w:rPr>
              <w:t>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lang w:val="en-US"/>
              </w:rPr>
            </w:pPr>
            <w:r>
              <w:rPr>
                <w:rFonts w:ascii="Arial" w:hAnsi="Arial" w:cs="Arial"/>
              </w:rPr>
              <w:t>Фосфо</w:t>
            </w:r>
            <w:r>
              <w:rPr>
                <w:rFonts w:ascii="Arial" w:hAnsi="Arial" w:cs="Arial"/>
                <w:lang w:val="en-US"/>
              </w:rPr>
              <w:t>-</w:t>
            </w:r>
            <w:r>
              <w:rPr>
                <w:rFonts w:ascii="Arial" w:hAnsi="Arial" w:cs="Arial"/>
              </w:rPr>
              <w:t>р</w:t>
            </w:r>
            <w:r>
              <w:rPr>
                <w:rFonts w:ascii="Arial" w:hAnsi="Arial" w:cs="Arial"/>
                <w:lang w:val="en-US"/>
              </w:rPr>
              <w:t>38 MAPK [Thrl80/Tyrl82]</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ind w:firstLine="380"/>
              <w:jc w:val="both"/>
              <w:rPr>
                <w:rFonts w:ascii="Arial" w:hAnsi="Arial" w:cs="Arial"/>
              </w:rPr>
            </w:pPr>
            <w:r>
              <w:rPr>
                <w:rFonts w:ascii="Arial" w:hAnsi="Arial" w:cs="Arial"/>
              </w:rPr>
              <w:t xml:space="preserve">1:500/ 5 </w:t>
            </w:r>
            <w:r>
              <w:rPr>
                <w:rFonts w:ascii="Arial" w:hAnsi="Arial" w:cs="Arial"/>
                <w:lang w:val="zh-CN" w:eastAsia="zh-CN" w:bidi="zh-CN"/>
              </w:rPr>
              <w:t xml:space="preserve">% </w:t>
            </w:r>
            <w:r>
              <w:rPr>
                <w:rFonts w:ascii="Arial" w:hAnsi="Arial" w:cs="Arial"/>
              </w:rPr>
              <w:t>BSA/TBST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p38 MAPK</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ind w:firstLine="380"/>
              <w:jc w:val="both"/>
              <w:rPr>
                <w:rFonts w:ascii="Arial" w:hAnsi="Arial" w:cs="Arial"/>
              </w:rPr>
            </w:pPr>
            <w:r>
              <w:rPr>
                <w:rFonts w:ascii="Arial" w:hAnsi="Arial" w:cs="Arial"/>
              </w:rPr>
              <w:t xml:space="preserve">1:500/ 5 </w:t>
            </w:r>
            <w:r>
              <w:rPr>
                <w:rFonts w:ascii="Arial" w:hAnsi="Arial" w:cs="Arial"/>
                <w:lang w:val="zh-CN" w:eastAsia="zh-CN" w:bidi="zh-CN"/>
              </w:rPr>
              <w:t xml:space="preserve">% </w:t>
            </w:r>
            <w:r>
              <w:rPr>
                <w:rFonts w:ascii="Arial" w:hAnsi="Arial" w:cs="Arial"/>
              </w:rPr>
              <w:t>BSA/TBST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Фосфо-Стат3 [Ser727]</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 xml:space="preserve">1:1 000 / 5 </w:t>
            </w:r>
            <w:r>
              <w:rPr>
                <w:rFonts w:ascii="Arial" w:hAnsi="Arial" w:cs="Arial"/>
                <w:lang w:val="zh-CN" w:eastAsia="zh-CN" w:bidi="zh-CN"/>
              </w:rPr>
              <w:t xml:space="preserve">% </w:t>
            </w:r>
            <w:r>
              <w:rPr>
                <w:rFonts w:ascii="Arial" w:hAnsi="Arial" w:cs="Arial"/>
              </w:rPr>
              <w:t xml:space="preserve">BSA </w:t>
            </w:r>
            <w:r>
              <w:rPr>
                <w:rFonts w:ascii="Arial" w:hAnsi="Arial" w:cs="Arial"/>
                <w:lang w:val="zh-CN" w:eastAsia="zh-CN" w:bidi="zh-CN"/>
              </w:rPr>
              <w:t xml:space="preserve">/ </w:t>
            </w:r>
            <w:r>
              <w:rPr>
                <w:rFonts w:ascii="Arial" w:hAnsi="Arial" w:cs="Arial"/>
              </w:rPr>
              <w:t>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Стат3</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 xml:space="preserve">1:1 000 / 5 </w:t>
            </w:r>
            <w:r>
              <w:rPr>
                <w:rFonts w:ascii="Arial" w:hAnsi="Arial" w:cs="Arial"/>
                <w:lang w:val="zh-CN" w:eastAsia="zh-CN" w:bidi="zh-CN"/>
              </w:rPr>
              <w:t xml:space="preserve">% </w:t>
            </w:r>
            <w:r>
              <w:rPr>
                <w:rFonts w:ascii="Arial" w:hAnsi="Arial" w:cs="Arial"/>
              </w:rPr>
              <w:t xml:space="preserve">BSA </w:t>
            </w:r>
            <w:r>
              <w:rPr>
                <w:rFonts w:ascii="Arial" w:hAnsi="Arial" w:cs="Arial"/>
                <w:lang w:val="zh-CN" w:eastAsia="zh-CN" w:bidi="zh-CN"/>
              </w:rPr>
              <w:t xml:space="preserve">/ </w:t>
            </w:r>
            <w:r>
              <w:rPr>
                <w:rFonts w:ascii="Arial" w:hAnsi="Arial" w:cs="Arial"/>
              </w:rPr>
              <w:t>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lang w:val="en-US"/>
              </w:rPr>
            </w:pPr>
            <w:r>
              <w:rPr>
                <w:rFonts w:ascii="Arial" w:hAnsi="Arial" w:cs="Arial"/>
              </w:rPr>
              <w:t>Фосфо</w:t>
            </w:r>
            <w:r>
              <w:rPr>
                <w:rFonts w:ascii="Arial" w:hAnsi="Arial" w:cs="Arial"/>
                <w:lang w:val="en-US"/>
              </w:rPr>
              <w:t>-NF-kappaB p65 [Ser536]</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1:500/TBST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NF-kappaB p65</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 xml:space="preserve">1:1 000 / 5 </w:t>
            </w:r>
            <w:r>
              <w:rPr>
                <w:rFonts w:ascii="Arial" w:hAnsi="Arial" w:cs="Arial"/>
                <w:lang w:val="zh-CN" w:eastAsia="zh-CN" w:bidi="zh-CN"/>
              </w:rPr>
              <w:t xml:space="preserve">% </w:t>
            </w:r>
            <w:r>
              <w:rPr>
                <w:rFonts w:ascii="Arial" w:hAnsi="Arial" w:cs="Arial"/>
              </w:rPr>
              <w:t xml:space="preserve">BSA </w:t>
            </w:r>
            <w:r>
              <w:rPr>
                <w:rFonts w:ascii="Arial" w:hAnsi="Arial" w:cs="Arial"/>
                <w:lang w:val="zh-CN" w:eastAsia="zh-CN" w:bidi="zh-CN"/>
              </w:rPr>
              <w:t xml:space="preserve">/ </w:t>
            </w:r>
            <w:r>
              <w:rPr>
                <w:rFonts w:ascii="Arial" w:hAnsi="Arial" w:cs="Arial"/>
              </w:rPr>
              <w:t>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FAK</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 xml:space="preserve">1:1 000 / 5 </w:t>
            </w:r>
            <w:r>
              <w:rPr>
                <w:rFonts w:ascii="Arial" w:hAnsi="Arial" w:cs="Arial"/>
                <w:lang w:val="zh-CN" w:eastAsia="zh-CN" w:bidi="zh-CN"/>
              </w:rPr>
              <w:t xml:space="preserve">% </w:t>
            </w:r>
            <w:r>
              <w:rPr>
                <w:rFonts w:ascii="Arial" w:hAnsi="Arial" w:cs="Arial"/>
              </w:rPr>
              <w:t xml:space="preserve">BSA </w:t>
            </w:r>
            <w:r>
              <w:rPr>
                <w:rFonts w:ascii="Arial" w:hAnsi="Arial" w:cs="Arial"/>
                <w:lang w:val="zh-CN" w:eastAsia="zh-CN" w:bidi="zh-CN"/>
              </w:rPr>
              <w:t xml:space="preserve">/ </w:t>
            </w:r>
            <w:r>
              <w:rPr>
                <w:rFonts w:ascii="Arial" w:hAnsi="Arial" w:cs="Arial"/>
              </w:rPr>
              <w:t>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c-Fos</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ind w:firstLine="380"/>
              <w:jc w:val="both"/>
              <w:rPr>
                <w:rFonts w:ascii="Arial" w:hAnsi="Arial" w:cs="Arial"/>
              </w:rPr>
            </w:pPr>
            <w:r>
              <w:rPr>
                <w:rFonts w:ascii="Arial" w:hAnsi="Arial" w:cs="Arial"/>
              </w:rPr>
              <w:t xml:space="preserve">1:500/ 5 </w:t>
            </w:r>
            <w:r>
              <w:rPr>
                <w:rFonts w:ascii="Arial" w:hAnsi="Arial" w:cs="Arial"/>
                <w:lang w:val="zh-CN" w:eastAsia="zh-CN" w:bidi="zh-CN"/>
              </w:rPr>
              <w:t xml:space="preserve">% </w:t>
            </w:r>
            <w:r>
              <w:rPr>
                <w:rFonts w:ascii="Arial" w:hAnsi="Arial" w:cs="Arial"/>
              </w:rPr>
              <w:t>BSA/TBST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Расщепленная Каспаза-3</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ind w:firstLine="380"/>
              <w:jc w:val="both"/>
              <w:rPr>
                <w:rFonts w:ascii="Arial" w:hAnsi="Arial" w:cs="Arial"/>
              </w:rPr>
            </w:pPr>
            <w:r>
              <w:rPr>
                <w:rFonts w:ascii="Arial" w:hAnsi="Arial" w:cs="Arial"/>
              </w:rPr>
              <w:t xml:space="preserve">1:500/ 5 </w:t>
            </w:r>
            <w:r>
              <w:rPr>
                <w:rFonts w:ascii="Arial" w:hAnsi="Arial" w:cs="Arial"/>
                <w:lang w:val="zh-CN" w:eastAsia="zh-CN" w:bidi="zh-CN"/>
              </w:rPr>
              <w:t xml:space="preserve">% </w:t>
            </w:r>
            <w:r>
              <w:rPr>
                <w:rFonts w:ascii="Arial" w:hAnsi="Arial" w:cs="Arial"/>
              </w:rPr>
              <w:t>BSA/TBST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E-Кадгерин</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ms</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 xml:space="preserve">1:1 000 / 5 </w:t>
            </w:r>
            <w:r>
              <w:rPr>
                <w:rFonts w:ascii="Arial" w:hAnsi="Arial" w:cs="Arial"/>
                <w:lang w:val="zh-CN" w:eastAsia="zh-CN" w:bidi="zh-CN"/>
              </w:rPr>
              <w:t xml:space="preserve">% </w:t>
            </w:r>
            <w:r>
              <w:rPr>
                <w:rFonts w:ascii="Arial" w:hAnsi="Arial" w:cs="Arial"/>
              </w:rPr>
              <w:t xml:space="preserve">BSA </w:t>
            </w:r>
            <w:r>
              <w:rPr>
                <w:rFonts w:ascii="Arial" w:hAnsi="Arial" w:cs="Arial"/>
                <w:lang w:val="zh-CN" w:eastAsia="zh-CN" w:bidi="zh-CN"/>
              </w:rPr>
              <w:t xml:space="preserve">/ </w:t>
            </w:r>
            <w:r>
              <w:rPr>
                <w:rFonts w:ascii="Arial" w:hAnsi="Arial" w:cs="Arial"/>
              </w:rPr>
              <w:t>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Egr-l</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 xml:space="preserve">1:1 000 / 5 </w:t>
            </w:r>
            <w:r>
              <w:rPr>
                <w:rFonts w:ascii="Arial" w:hAnsi="Arial" w:cs="Arial"/>
                <w:lang w:val="zh-CN" w:eastAsia="zh-CN" w:bidi="zh-CN"/>
              </w:rPr>
              <w:t xml:space="preserve">% </w:t>
            </w:r>
            <w:r>
              <w:rPr>
                <w:rFonts w:ascii="Arial" w:hAnsi="Arial" w:cs="Arial"/>
              </w:rPr>
              <w:t xml:space="preserve">BSA </w:t>
            </w:r>
            <w:r>
              <w:rPr>
                <w:rFonts w:ascii="Arial" w:hAnsi="Arial" w:cs="Arial"/>
                <w:lang w:val="zh-CN" w:eastAsia="zh-CN" w:bidi="zh-CN"/>
              </w:rPr>
              <w:t xml:space="preserve">/ </w:t>
            </w:r>
            <w:r>
              <w:rPr>
                <w:rFonts w:ascii="Arial" w:hAnsi="Arial" w:cs="Arial"/>
              </w:rPr>
              <w:t>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HIF-1 альфа</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ind w:firstLine="380"/>
              <w:jc w:val="both"/>
              <w:rPr>
                <w:rFonts w:ascii="Arial" w:hAnsi="Arial" w:cs="Arial"/>
              </w:rPr>
            </w:pPr>
            <w:r>
              <w:rPr>
                <w:rFonts w:ascii="Arial" w:hAnsi="Arial" w:cs="Arial"/>
              </w:rPr>
              <w:t xml:space="preserve">1:500/ 5 </w:t>
            </w:r>
            <w:r>
              <w:rPr>
                <w:rFonts w:ascii="Arial" w:hAnsi="Arial" w:cs="Arial"/>
                <w:lang w:val="zh-CN" w:eastAsia="zh-CN" w:bidi="zh-CN"/>
              </w:rPr>
              <w:t xml:space="preserve">% </w:t>
            </w:r>
            <w:r>
              <w:rPr>
                <w:rFonts w:ascii="Arial" w:hAnsi="Arial" w:cs="Arial"/>
              </w:rPr>
              <w:t>BSA/TBST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Hsp70</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rb</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ind w:firstLine="380"/>
              <w:jc w:val="both"/>
              <w:rPr>
                <w:rFonts w:ascii="Arial" w:hAnsi="Arial" w:cs="Arial"/>
              </w:rPr>
            </w:pPr>
            <w:r>
              <w:rPr>
                <w:rFonts w:ascii="Arial" w:hAnsi="Arial" w:cs="Arial"/>
              </w:rPr>
              <w:t xml:space="preserve">1:500/ 5 </w:t>
            </w:r>
            <w:r>
              <w:rPr>
                <w:rFonts w:ascii="Arial" w:hAnsi="Arial" w:cs="Arial"/>
                <w:lang w:val="zh-CN" w:eastAsia="zh-CN" w:bidi="zh-CN"/>
              </w:rPr>
              <w:t xml:space="preserve">% </w:t>
            </w:r>
            <w:r>
              <w:rPr>
                <w:rFonts w:ascii="Arial" w:hAnsi="Arial" w:cs="Arial"/>
              </w:rPr>
              <w:t>BSA/TBST</w:t>
            </w:r>
          </w:p>
        </w:tc>
      </w:tr>
      <w:tr w:rsidR="000E6FD9" w:rsidTr="00233458">
        <w:trPr>
          <w:cantSplit/>
          <w:trHeight w:val="20"/>
          <w:jc w:val="center"/>
        </w:trPr>
        <w:tc>
          <w:tcPr>
            <w:tcW w:w="5275"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P-Актин</w:t>
            </w:r>
          </w:p>
        </w:tc>
        <w:tc>
          <w:tcPr>
            <w:tcW w:w="1613" w:type="dxa"/>
            <w:tcBorders>
              <w:top w:val="single" w:sz="4" w:space="0" w:color="auto"/>
              <w:lef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ms</w:t>
            </w:r>
          </w:p>
        </w:tc>
        <w:tc>
          <w:tcPr>
            <w:tcW w:w="2870" w:type="dxa"/>
            <w:tcBorders>
              <w:top w:val="single" w:sz="4" w:space="0" w:color="auto"/>
              <w:left w:val="single" w:sz="4" w:space="0" w:color="auto"/>
              <w:righ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 xml:space="preserve">1:1 000 / 5 </w:t>
            </w:r>
            <w:r>
              <w:rPr>
                <w:rFonts w:ascii="Arial" w:hAnsi="Arial" w:cs="Arial"/>
                <w:lang w:val="zh-CN" w:eastAsia="zh-CN" w:bidi="zh-CN"/>
              </w:rPr>
              <w:t xml:space="preserve">% </w:t>
            </w:r>
            <w:r>
              <w:rPr>
                <w:rFonts w:ascii="Arial" w:hAnsi="Arial" w:cs="Arial"/>
              </w:rPr>
              <w:t xml:space="preserve">BSA </w:t>
            </w:r>
            <w:r>
              <w:rPr>
                <w:rFonts w:ascii="Arial" w:hAnsi="Arial" w:cs="Arial"/>
                <w:lang w:val="zh-CN" w:eastAsia="zh-CN" w:bidi="zh-CN"/>
              </w:rPr>
              <w:t xml:space="preserve">/ </w:t>
            </w:r>
            <w:r>
              <w:rPr>
                <w:rFonts w:ascii="Arial" w:hAnsi="Arial" w:cs="Arial"/>
              </w:rPr>
              <w:t>TBST</w:t>
            </w:r>
          </w:p>
        </w:tc>
      </w:tr>
      <w:tr w:rsidR="000E6FD9" w:rsidTr="00233458">
        <w:trPr>
          <w:cantSplit/>
          <w:trHeight w:val="20"/>
          <w:jc w:val="center"/>
        </w:trPr>
        <w:tc>
          <w:tcPr>
            <w:tcW w:w="5275" w:type="dxa"/>
            <w:tcBorders>
              <w:top w:val="single" w:sz="4" w:space="0" w:color="auto"/>
              <w:left w:val="single" w:sz="4" w:space="0" w:color="auto"/>
              <w:bottom w:val="single" w:sz="4" w:space="0" w:color="auto"/>
            </w:tcBorders>
            <w:shd w:val="clear" w:color="auto" w:fill="FFFFFF"/>
            <w:vAlign w:val="bottom"/>
          </w:tcPr>
          <w:p w:rsidR="000E6FD9" w:rsidRDefault="00233458">
            <w:pPr>
              <w:pStyle w:val="Other20"/>
              <w:shd w:val="clear" w:color="auto" w:fill="auto"/>
              <w:spacing w:after="0"/>
              <w:rPr>
                <w:rFonts w:ascii="Arial" w:hAnsi="Arial" w:cs="Arial"/>
              </w:rPr>
            </w:pPr>
            <w:r>
              <w:rPr>
                <w:rFonts w:ascii="Arial" w:hAnsi="Arial" w:cs="Arial"/>
              </w:rPr>
              <w:t>GAPDH</w:t>
            </w:r>
          </w:p>
        </w:tc>
        <w:tc>
          <w:tcPr>
            <w:tcW w:w="1613" w:type="dxa"/>
            <w:tcBorders>
              <w:top w:val="single" w:sz="4" w:space="0" w:color="auto"/>
              <w:left w:val="single" w:sz="4" w:space="0" w:color="auto"/>
              <w:bottom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ms</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0E6FD9" w:rsidRDefault="00233458">
            <w:pPr>
              <w:pStyle w:val="Other20"/>
              <w:shd w:val="clear" w:color="auto" w:fill="auto"/>
              <w:spacing w:after="0"/>
              <w:jc w:val="center"/>
              <w:rPr>
                <w:rFonts w:ascii="Arial" w:hAnsi="Arial" w:cs="Arial"/>
              </w:rPr>
            </w:pPr>
            <w:r>
              <w:rPr>
                <w:rFonts w:ascii="Arial" w:hAnsi="Arial" w:cs="Arial"/>
              </w:rPr>
              <w:t xml:space="preserve">1:1 000 / 5 </w:t>
            </w:r>
            <w:r>
              <w:rPr>
                <w:rFonts w:ascii="Arial" w:hAnsi="Arial" w:cs="Arial"/>
                <w:lang w:val="zh-CN" w:eastAsia="zh-CN" w:bidi="zh-CN"/>
              </w:rPr>
              <w:t xml:space="preserve">% </w:t>
            </w:r>
            <w:r>
              <w:rPr>
                <w:rFonts w:ascii="Arial" w:hAnsi="Arial" w:cs="Arial"/>
              </w:rPr>
              <w:t xml:space="preserve">BSA </w:t>
            </w:r>
            <w:r>
              <w:rPr>
                <w:rFonts w:ascii="Arial" w:hAnsi="Arial" w:cs="Arial"/>
                <w:lang w:val="zh-CN" w:eastAsia="zh-CN" w:bidi="zh-CN"/>
              </w:rPr>
              <w:t xml:space="preserve">/ </w:t>
            </w:r>
            <w:r>
              <w:rPr>
                <w:rFonts w:ascii="Arial" w:hAnsi="Arial" w:cs="Arial"/>
              </w:rPr>
              <w:t>TBST</w:t>
            </w:r>
          </w:p>
        </w:tc>
      </w:tr>
      <w:tr w:rsidR="00233458" w:rsidTr="00233458">
        <w:trPr>
          <w:cantSplit/>
          <w:trHeight w:val="20"/>
          <w:jc w:val="center"/>
        </w:trPr>
        <w:tc>
          <w:tcPr>
            <w:tcW w:w="5275" w:type="dxa"/>
            <w:tcBorders>
              <w:top w:val="single" w:sz="4" w:space="0" w:color="auto"/>
              <w:left w:val="single" w:sz="4" w:space="0" w:color="auto"/>
              <w:bottom w:val="single" w:sz="4" w:space="0" w:color="auto"/>
            </w:tcBorders>
            <w:shd w:val="clear" w:color="auto" w:fill="FFFFFF"/>
            <w:vAlign w:val="bottom"/>
          </w:tcPr>
          <w:p w:rsidR="00233458" w:rsidRDefault="00233458" w:rsidP="00233458">
            <w:pPr>
              <w:pStyle w:val="Other20"/>
              <w:shd w:val="clear" w:color="auto" w:fill="auto"/>
              <w:spacing w:after="100"/>
              <w:rPr>
                <w:rFonts w:ascii="Arial" w:hAnsi="Arial" w:cs="Arial"/>
              </w:rPr>
            </w:pPr>
            <w:r>
              <w:rPr>
                <w:rFonts w:ascii="Arial" w:hAnsi="Arial" w:cs="Arial"/>
              </w:rPr>
              <w:lastRenderedPageBreak/>
              <w:t>Ключ</w:t>
            </w:r>
          </w:p>
          <w:p w:rsidR="00233458" w:rsidRDefault="00233458" w:rsidP="00233458">
            <w:pPr>
              <w:pStyle w:val="Other20"/>
              <w:shd w:val="clear" w:color="auto" w:fill="auto"/>
              <w:spacing w:after="100"/>
              <w:rPr>
                <w:rFonts w:ascii="Arial" w:hAnsi="Arial" w:cs="Arial"/>
              </w:rPr>
            </w:pPr>
            <w:r>
              <w:rPr>
                <w:rFonts w:ascii="Arial" w:eastAsia="Times New Roman" w:hAnsi="Arial" w:cs="Arial"/>
              </w:rPr>
              <w:t>Rb: кролик</w:t>
            </w:r>
          </w:p>
          <w:p w:rsidR="00233458" w:rsidRDefault="00233458" w:rsidP="00233458">
            <w:pPr>
              <w:pStyle w:val="Other20"/>
              <w:shd w:val="clear" w:color="auto" w:fill="auto"/>
              <w:spacing w:after="100"/>
              <w:rPr>
                <w:rFonts w:ascii="Arial" w:hAnsi="Arial" w:cs="Arial"/>
              </w:rPr>
            </w:pPr>
            <w:r>
              <w:rPr>
                <w:rFonts w:ascii="Arial" w:eastAsia="Times New Roman" w:hAnsi="Arial" w:cs="Arial"/>
              </w:rPr>
              <w:t>Ms: мышь</w:t>
            </w:r>
          </w:p>
          <w:p w:rsidR="00233458" w:rsidRDefault="00233458" w:rsidP="00233458">
            <w:pPr>
              <w:pStyle w:val="Other20"/>
              <w:shd w:val="clear" w:color="auto" w:fill="auto"/>
              <w:spacing w:after="100"/>
              <w:rPr>
                <w:rFonts w:ascii="Arial" w:hAnsi="Arial" w:cs="Arial"/>
              </w:rPr>
            </w:pPr>
            <w:r>
              <w:rPr>
                <w:rFonts w:ascii="Arial" w:eastAsia="Times New Roman" w:hAnsi="Arial" w:cs="Arial"/>
              </w:rPr>
              <w:t>BSA: сыворотка бычьего альбумина</w:t>
            </w:r>
          </w:p>
          <w:p w:rsidR="00233458" w:rsidRDefault="00233458" w:rsidP="00233458">
            <w:pPr>
              <w:pStyle w:val="Other20"/>
              <w:shd w:val="clear" w:color="auto" w:fill="auto"/>
              <w:spacing w:after="0"/>
              <w:rPr>
                <w:rFonts w:ascii="Arial" w:hAnsi="Arial" w:cs="Arial"/>
              </w:rPr>
            </w:pPr>
            <w:r>
              <w:rPr>
                <w:rFonts w:ascii="Arial" w:eastAsia="Times New Roman" w:hAnsi="Arial" w:cs="Arial"/>
              </w:rPr>
              <w:t xml:space="preserve">TBST: </w:t>
            </w:r>
            <w:proofErr w:type="spellStart"/>
            <w:r>
              <w:rPr>
                <w:rFonts w:ascii="Arial" w:eastAsia="Times New Roman" w:hAnsi="Arial" w:cs="Arial"/>
              </w:rPr>
              <w:t>Трис</w:t>
            </w:r>
            <w:proofErr w:type="spellEnd"/>
            <w:r>
              <w:rPr>
                <w:rFonts w:ascii="Arial" w:eastAsia="Times New Roman" w:hAnsi="Arial" w:cs="Arial"/>
              </w:rPr>
              <w:t xml:space="preserve">-буферный солевой раствор с 0,1 </w:t>
            </w:r>
            <w:r>
              <w:rPr>
                <w:rFonts w:ascii="Arial" w:eastAsia="Times New Roman" w:hAnsi="Arial" w:cs="Arial"/>
                <w:lang w:val="zh-CN" w:eastAsia="zh-CN" w:bidi="zh-CN"/>
              </w:rPr>
              <w:t xml:space="preserve">% </w:t>
            </w:r>
            <w:r>
              <w:rPr>
                <w:rFonts w:ascii="Arial" w:eastAsia="Times New Roman" w:hAnsi="Arial" w:cs="Arial"/>
                <w:lang w:eastAsia="zh-CN" w:bidi="zh-CN"/>
              </w:rPr>
              <w:t>Полисорбатом</w:t>
            </w:r>
            <w:r>
              <w:rPr>
                <w:rFonts w:ascii="Arial" w:eastAsia="Times New Roman" w:hAnsi="Arial" w:cs="Arial"/>
              </w:rPr>
              <w:t>-20</w:t>
            </w:r>
          </w:p>
        </w:tc>
        <w:tc>
          <w:tcPr>
            <w:tcW w:w="1613" w:type="dxa"/>
            <w:tcBorders>
              <w:top w:val="single" w:sz="4" w:space="0" w:color="auto"/>
              <w:left w:val="single" w:sz="4" w:space="0" w:color="auto"/>
              <w:bottom w:val="single" w:sz="4" w:space="0" w:color="auto"/>
            </w:tcBorders>
            <w:shd w:val="clear" w:color="auto" w:fill="FFFFFF"/>
            <w:vAlign w:val="bottom"/>
          </w:tcPr>
          <w:p w:rsidR="00233458" w:rsidRDefault="00233458">
            <w:pPr>
              <w:pStyle w:val="Other20"/>
              <w:shd w:val="clear" w:color="auto" w:fill="auto"/>
              <w:spacing w:after="0"/>
              <w:jc w:val="center"/>
              <w:rPr>
                <w:rFonts w:ascii="Arial" w:hAnsi="Arial" w:cs="Arial"/>
              </w:rPr>
            </w:pP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233458" w:rsidRDefault="00233458">
            <w:pPr>
              <w:pStyle w:val="Other20"/>
              <w:shd w:val="clear" w:color="auto" w:fill="auto"/>
              <w:spacing w:after="0"/>
              <w:jc w:val="center"/>
              <w:rPr>
                <w:rFonts w:ascii="Arial" w:hAnsi="Arial" w:cs="Arial"/>
              </w:rPr>
            </w:pPr>
          </w:p>
        </w:tc>
      </w:tr>
    </w:tbl>
    <w:p w:rsidR="00233458" w:rsidRDefault="00233458">
      <w:pPr>
        <w:suppressAutoHyphens w:val="0"/>
        <w:spacing w:line="360" w:lineRule="auto"/>
        <w:jc w:val="both"/>
        <w:rPr>
          <w:rFonts w:ascii="Arial" w:eastAsiaTheme="minorHAnsi" w:hAnsi="Arial" w:cs="Arial"/>
          <w:b/>
          <w:bCs/>
          <w:lang w:eastAsia="en-US" w:bidi="en-US"/>
        </w:rPr>
      </w:pPr>
    </w:p>
    <w:p w:rsidR="000E6FD9" w:rsidRDefault="00233458" w:rsidP="00233458">
      <w:pPr>
        <w:suppressAutoHyphens w:val="0"/>
        <w:spacing w:line="360" w:lineRule="auto"/>
        <w:ind w:firstLine="567"/>
        <w:jc w:val="both"/>
        <w:rPr>
          <w:rFonts w:ascii="Arial" w:eastAsiaTheme="minorHAnsi" w:hAnsi="Arial" w:cs="Arial"/>
          <w:lang w:eastAsia="en-US"/>
        </w:rPr>
      </w:pPr>
      <w:r>
        <w:rPr>
          <w:rFonts w:ascii="Arial" w:eastAsiaTheme="minorHAnsi" w:hAnsi="Arial" w:cs="Arial"/>
          <w:b/>
          <w:bCs/>
          <w:lang w:eastAsia="en-US" w:bidi="en-US"/>
        </w:rPr>
        <w:t>A</w:t>
      </w:r>
      <w:r>
        <w:rPr>
          <w:rFonts w:ascii="Arial" w:eastAsiaTheme="minorHAnsi" w:hAnsi="Arial" w:cs="Arial"/>
          <w:b/>
          <w:bCs/>
          <w:lang w:eastAsia="en-US"/>
        </w:rPr>
        <w:t>.2.3 Результаты</w:t>
      </w:r>
    </w:p>
    <w:p w:rsidR="000E6FD9" w:rsidRDefault="00233458" w:rsidP="00233458">
      <w:pPr>
        <w:suppressAutoHyphens w:val="0"/>
        <w:spacing w:line="360" w:lineRule="auto"/>
        <w:ind w:firstLine="567"/>
        <w:jc w:val="both"/>
        <w:rPr>
          <w:rFonts w:ascii="Arial" w:eastAsiaTheme="minorHAnsi" w:hAnsi="Arial" w:cs="Arial"/>
          <w:b/>
          <w:lang w:eastAsia="en-US"/>
        </w:rPr>
      </w:pPr>
      <w:r>
        <w:rPr>
          <w:rFonts w:ascii="Arial" w:eastAsiaTheme="minorHAnsi" w:hAnsi="Arial" w:cs="Arial"/>
          <w:lang w:eastAsia="en-US"/>
        </w:rPr>
        <w:t>Для изучения влияния продолжительности критического хранения на белковые профили были собраны образцы доброкачественных тканей человека (n = 11) во время повседневных операционных процедур и доставлены в лабораторию, где по прибытии были начаты контролируемые временные эксперименты. После выделения белка стабильность выбранных белков количественно исследовали методом обратной фазы белкового массива (RPPA) с 23 специфическими антителами, семь из которых были направлены против фосфорилированных эпитопов, один из них на распознование расщепленного белка. Белки были отобраны на основе их потенциального участия в важнейших клеточных функциях или сигнальных путях, таких как клеточная структура, пролиферация и выживание, реакция на стресс, гипоксия, апоптоз и адгезия. Анализируя расщепление белка и посттрансляционные модификации(фосфорилирование), можно достоверно определить потенциальные флуктуации количества белка во время хранения.</w:t>
      </w:r>
    </w:p>
    <w:p w:rsidR="000E6FD9" w:rsidRDefault="000E6FD9">
      <w:pPr>
        <w:suppressAutoHyphens w:val="0"/>
        <w:jc w:val="both"/>
        <w:rPr>
          <w:rFonts w:ascii="Arial" w:eastAsiaTheme="minorHAnsi" w:hAnsi="Arial" w:cs="Arial"/>
          <w:b/>
          <w:lang w:eastAsia="en-US"/>
        </w:rPr>
      </w:pPr>
    </w:p>
    <w:p w:rsidR="000E6FD9" w:rsidRDefault="00233458">
      <w:pPr>
        <w:suppressAutoHyphens w:val="0"/>
        <w:jc w:val="center"/>
        <w:rPr>
          <w:rFonts w:ascii="Arial" w:eastAsiaTheme="minorHAnsi" w:hAnsi="Arial" w:cs="Arial"/>
          <w:b/>
          <w:lang w:eastAsia="en-US"/>
        </w:rPr>
      </w:pPr>
      <w:r>
        <w:rPr>
          <w:rFonts w:ascii="Arial" w:eastAsiaTheme="minorHAnsi" w:hAnsi="Arial" w:cs="Arial"/>
          <w:b/>
          <w:noProof/>
        </w:rPr>
        <w:lastRenderedPageBreak/>
        <w:drawing>
          <wp:inline distT="0" distB="0" distL="0" distR="0">
            <wp:extent cx="5939790" cy="2310765"/>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20"/>
                    <a:stretch>
                      <a:fillRect/>
                    </a:stretch>
                  </pic:blipFill>
                  <pic:spPr>
                    <a:xfrm>
                      <a:off x="0" y="0"/>
                      <a:ext cx="5939790" cy="2310765"/>
                    </a:xfrm>
                    <a:prstGeom prst="rect">
                      <a:avLst/>
                    </a:prstGeom>
                  </pic:spPr>
                </pic:pic>
              </a:graphicData>
            </a:graphic>
          </wp:inline>
        </w:drawing>
      </w:r>
    </w:p>
    <w:p w:rsidR="000E6FD9" w:rsidRDefault="000E6FD9">
      <w:pPr>
        <w:suppressAutoHyphens w:val="0"/>
        <w:jc w:val="both"/>
        <w:rPr>
          <w:rFonts w:ascii="Arial" w:eastAsiaTheme="minorHAnsi" w:hAnsi="Arial" w:cs="Arial"/>
          <w:b/>
          <w:lang w:eastAsia="en-US"/>
        </w:rPr>
      </w:pPr>
    </w:p>
    <w:p w:rsidR="000E6FD9" w:rsidRDefault="00233458" w:rsidP="00233458">
      <w:pPr>
        <w:suppressAutoHyphens w:val="0"/>
        <w:jc w:val="center"/>
        <w:rPr>
          <w:rFonts w:ascii="Arial" w:eastAsiaTheme="minorHAnsi" w:hAnsi="Arial" w:cs="Arial"/>
          <w:sz w:val="20"/>
          <w:szCs w:val="20"/>
          <w:lang w:eastAsia="en-US"/>
        </w:rPr>
      </w:pPr>
      <w:r>
        <w:rPr>
          <w:rFonts w:ascii="Arial" w:eastAsiaTheme="minorHAnsi" w:hAnsi="Arial" w:cs="Arial"/>
          <w:sz w:val="20"/>
          <w:szCs w:val="20"/>
          <w:lang w:eastAsia="en-US"/>
        </w:rPr>
        <w:t xml:space="preserve">X – время </w:t>
      </w:r>
      <w:r>
        <w:rPr>
          <w:rFonts w:ascii="Cambria Math" w:eastAsia="Cambria Math" w:hAnsi="Cambria Math" w:cs="Cambria Math"/>
          <w:sz w:val="20"/>
          <w:szCs w:val="20"/>
          <w:lang w:eastAsia="en-US"/>
        </w:rPr>
        <w:t>(</w:t>
      </w:r>
      <w:r>
        <w:rPr>
          <w:rFonts w:ascii="Calibri" w:eastAsiaTheme="minorHAnsi" w:hAnsi="Calibri" w:cs="Calibri"/>
          <w:sz w:val="20"/>
          <w:szCs w:val="20"/>
          <w:lang w:eastAsia="en-US"/>
        </w:rPr>
        <w:t>мин</w:t>
      </w:r>
      <w:r>
        <w:rPr>
          <w:rFonts w:ascii="Arial" w:eastAsiaTheme="minorHAnsi" w:hAnsi="Arial" w:cs="Arial"/>
          <w:sz w:val="20"/>
          <w:szCs w:val="20"/>
          <w:lang w:eastAsia="en-US"/>
        </w:rPr>
        <w:t>); Y – изменение относительной интенсивности</w:t>
      </w:r>
    </w:p>
    <w:p w:rsidR="000E6FD9" w:rsidRDefault="000E6FD9">
      <w:pPr>
        <w:suppressAutoHyphens w:val="0"/>
        <w:jc w:val="both"/>
        <w:rPr>
          <w:rFonts w:ascii="Arial" w:eastAsiaTheme="minorHAnsi" w:hAnsi="Arial" w:cs="Arial"/>
          <w:b/>
          <w:lang w:eastAsia="en-US"/>
        </w:rPr>
      </w:pPr>
    </w:p>
    <w:p w:rsidR="000E6FD9" w:rsidRDefault="00233458">
      <w:pPr>
        <w:suppressAutoHyphens w:val="0"/>
        <w:jc w:val="center"/>
        <w:rPr>
          <w:rFonts w:ascii="Arial" w:eastAsiaTheme="minorHAnsi" w:hAnsi="Arial" w:cs="Arial"/>
          <w:b/>
          <w:sz w:val="20"/>
          <w:szCs w:val="20"/>
          <w:lang w:eastAsia="en-US"/>
        </w:rPr>
      </w:pPr>
      <w:r>
        <w:rPr>
          <w:rFonts w:ascii="Arial" w:eastAsiaTheme="minorHAnsi" w:hAnsi="Arial" w:cs="Arial"/>
          <w:b/>
          <w:sz w:val="20"/>
          <w:szCs w:val="20"/>
          <w:lang w:eastAsia="en-US"/>
        </w:rPr>
        <w:t xml:space="preserve">Рисунок A.2 — </w:t>
      </w:r>
      <w:r>
        <w:rPr>
          <w:rFonts w:ascii="Arial" w:eastAsiaTheme="minorHAnsi" w:hAnsi="Arial" w:cs="Arial"/>
          <w:b/>
          <w:bCs/>
          <w:sz w:val="20"/>
          <w:szCs w:val="20"/>
          <w:lang w:eastAsia="en-US"/>
        </w:rPr>
        <w:t>Исследование белков и фосфопротеинов при экспериментально отсроченного воздействия критического хранения</w:t>
      </w:r>
    </w:p>
    <w:p w:rsidR="000E6FD9" w:rsidRDefault="000E6FD9">
      <w:pPr>
        <w:suppressAutoHyphens w:val="0"/>
        <w:jc w:val="both"/>
        <w:rPr>
          <w:rFonts w:eastAsiaTheme="minorHAnsi" w:cs="Arial"/>
          <w:lang w:eastAsia="en-US"/>
        </w:rPr>
      </w:pPr>
    </w:p>
    <w:p w:rsidR="000E6FD9" w:rsidRDefault="00233458" w:rsidP="00233458">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Рисунок A</w:t>
      </w:r>
      <w:r>
        <w:rPr>
          <w:rFonts w:ascii="Arial" w:eastAsia="MS Gothic" w:hAnsi="Arial" w:cs="Arial"/>
          <w:lang w:eastAsia="en-US"/>
        </w:rPr>
        <w:t>.</w:t>
      </w:r>
      <w:r>
        <w:rPr>
          <w:rFonts w:ascii="Arial" w:eastAsiaTheme="minorHAnsi" w:hAnsi="Arial" w:cs="Arial"/>
          <w:lang w:eastAsia="en-US"/>
        </w:rPr>
        <w:t>2 показывает интенсивность сигнала трёх репрезентативных белков (фосфо-p44/42-MAPK, GAPDH, p-актин). Изображены боковые графики, которые показывают среднюю нормализованную интенсивность сигнала и процентное соотношение эталонный выборки (см. Рисунок A.l, [3) , которое было установлено на уровне 1,0.</w:t>
      </w:r>
    </w:p>
    <w:p w:rsidR="000E6FD9" w:rsidRDefault="00233458" w:rsidP="00233458">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Фосфо-p44/42-MAPK (p-p44/42-MAPK) является примером фосфопротеина, изменяющего свое количество во время критического хранения, в то время как количество GAPDH и p-актина не сильно изменилась в течение всего времени проведения эксперимента.</w:t>
      </w:r>
    </w:p>
    <w:p w:rsidR="000E6FD9" w:rsidRDefault="000E6FD9">
      <w:pPr>
        <w:suppressAutoHyphens w:val="0"/>
        <w:jc w:val="both"/>
        <w:rPr>
          <w:rFonts w:eastAsiaTheme="minorHAnsi" w:cs="Arial"/>
          <w:b/>
          <w:lang w:eastAsia="en-US"/>
        </w:rPr>
      </w:pPr>
    </w:p>
    <w:p w:rsidR="000E6FD9" w:rsidRDefault="00233458" w:rsidP="00233458">
      <w:pPr>
        <w:suppressAutoHyphens w:val="0"/>
        <w:spacing w:line="360" w:lineRule="auto"/>
        <w:ind w:firstLine="567"/>
        <w:jc w:val="both"/>
        <w:rPr>
          <w:rFonts w:ascii="Arial" w:eastAsiaTheme="minorHAnsi" w:hAnsi="Arial" w:cs="Arial"/>
          <w:b/>
          <w:lang w:eastAsia="en-US"/>
        </w:rPr>
      </w:pPr>
      <w:r>
        <w:rPr>
          <w:rFonts w:ascii="Arial" w:eastAsiaTheme="minorHAnsi" w:hAnsi="Arial" w:cs="Arial"/>
          <w:b/>
          <w:lang w:val="en-US" w:eastAsia="en-US"/>
        </w:rPr>
        <w:t>A</w:t>
      </w:r>
      <w:r>
        <w:rPr>
          <w:rFonts w:ascii="Arial" w:eastAsiaTheme="minorHAnsi" w:hAnsi="Arial" w:cs="Arial"/>
          <w:b/>
          <w:lang w:eastAsia="en-US"/>
        </w:rPr>
        <w:t>.3 Выводы</w:t>
      </w:r>
    </w:p>
    <w:p w:rsidR="000E6FD9" w:rsidRDefault="00233458" w:rsidP="00233458">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Результаты настоящего исследования позволяют получить представление о вариативности у разных пациентов, а также о колебаниях белкового и фосфопротеинового профилей в клинических образцах тканей на этапе </w:t>
      </w:r>
      <w:r>
        <w:rPr>
          <w:rFonts w:ascii="Arial" w:eastAsiaTheme="minorHAnsi" w:hAnsi="Arial" w:cs="Arial"/>
          <w:lang w:eastAsia="en-US"/>
        </w:rPr>
        <w:lastRenderedPageBreak/>
        <w:t>предварительного обследования. Данные этой экспериментальные работы наглядно показывают, что существует необходимость стандартизации сбора тканей FFPE и последующее выделение и хранение белков и фосфопротеинов перед количественным исследованием. Этот процесс стандартизации включает в себя документирование продолжительности критического и некритического хранения. В то время как результаты для некритического хранение представлены в других источниках (см. дальнейшее прочтение), приведённые здесь данные указывают на то, что критическое хранение оказывает влияние на белковые профили. Таким образом, существует риск того, что из-за различий в продолжительности критического и некритического хранения и других параметров предварительного обследования, анализ исследований может быть ненадёжным, а значимые биомаркеры для лечения пациентов могут быть пропущены или неправильно интерпретированы.</w:t>
      </w:r>
    </w:p>
    <w:p w:rsidR="000E6FD9" w:rsidRDefault="00233458" w:rsidP="00233458">
      <w:pPr>
        <w:suppressAutoHyphens w:val="0"/>
        <w:spacing w:line="360" w:lineRule="auto"/>
        <w:ind w:firstLine="567"/>
        <w:jc w:val="both"/>
        <w:rPr>
          <w:rFonts w:ascii="Arial" w:eastAsiaTheme="minorHAnsi" w:hAnsi="Arial" w:cs="Arial"/>
          <w:b/>
          <w:lang w:eastAsia="en-US"/>
        </w:rPr>
      </w:pPr>
      <w:r>
        <w:rPr>
          <w:rFonts w:ascii="Arial" w:eastAsiaTheme="minorHAnsi" w:hAnsi="Arial" w:cs="Arial"/>
          <w:b/>
          <w:lang w:val="en-US" w:eastAsia="en-US"/>
        </w:rPr>
        <w:t>A</w:t>
      </w:r>
      <w:r>
        <w:rPr>
          <w:rFonts w:ascii="Arial" w:eastAsiaTheme="minorHAnsi" w:hAnsi="Arial" w:cs="Arial"/>
          <w:b/>
          <w:lang w:eastAsia="en-US"/>
        </w:rPr>
        <w:t>.4 Дальнейшее прочтение</w:t>
      </w:r>
    </w:p>
    <w:p w:rsidR="000E6FD9" w:rsidRDefault="00233458" w:rsidP="00233458">
      <w:pPr>
        <w:suppressAutoHyphens w:val="0"/>
        <w:spacing w:line="360" w:lineRule="auto"/>
        <w:ind w:firstLine="567"/>
        <w:jc w:val="both"/>
        <w:rPr>
          <w:rFonts w:ascii="Arial" w:eastAsiaTheme="minorHAnsi" w:hAnsi="Arial" w:cs="Arial"/>
          <w:lang w:eastAsia="en-US"/>
        </w:rPr>
      </w:pPr>
      <w:r>
        <w:rPr>
          <w:rFonts w:ascii="Arial" w:eastAsiaTheme="minorHAnsi" w:hAnsi="Arial" w:cs="Arial"/>
          <w:lang w:val="en-US" w:eastAsia="en-US"/>
        </w:rPr>
        <w:t>Giindisch</w:t>
      </w:r>
      <w:r>
        <w:rPr>
          <w:rFonts w:ascii="Arial" w:eastAsiaTheme="minorHAnsi" w:hAnsi="Arial" w:cs="Arial"/>
          <w:lang w:eastAsia="en-US"/>
        </w:rPr>
        <w:t xml:space="preserve"> </w:t>
      </w:r>
      <w:r>
        <w:rPr>
          <w:rFonts w:ascii="Arial" w:eastAsiaTheme="minorHAnsi" w:hAnsi="Arial" w:cs="Arial"/>
          <w:lang w:val="en-US" w:eastAsia="en-US"/>
        </w:rPr>
        <w:t>S</w:t>
      </w:r>
      <w:r>
        <w:rPr>
          <w:rFonts w:ascii="Arial" w:eastAsiaTheme="minorHAnsi" w:hAnsi="Arial" w:cs="Arial"/>
          <w:lang w:eastAsia="en-US"/>
        </w:rPr>
        <w:t xml:space="preserve">., </w:t>
      </w:r>
      <w:r>
        <w:rPr>
          <w:rFonts w:ascii="Arial" w:eastAsiaTheme="minorHAnsi" w:hAnsi="Arial" w:cs="Arial"/>
          <w:lang w:val="en-US" w:eastAsia="en-US"/>
        </w:rPr>
        <w:t>Hauck</w:t>
      </w:r>
      <w:r>
        <w:rPr>
          <w:rFonts w:ascii="Arial" w:eastAsiaTheme="minorHAnsi" w:hAnsi="Arial" w:cs="Arial"/>
          <w:lang w:eastAsia="en-US"/>
        </w:rPr>
        <w:t xml:space="preserve"> </w:t>
      </w:r>
      <w:r>
        <w:rPr>
          <w:rFonts w:ascii="Arial" w:eastAsiaTheme="minorHAnsi" w:hAnsi="Arial" w:cs="Arial"/>
          <w:lang w:val="en-US" w:eastAsia="en-US"/>
        </w:rPr>
        <w:t>S</w:t>
      </w:r>
      <w:r>
        <w:rPr>
          <w:rFonts w:ascii="Arial" w:eastAsiaTheme="minorHAnsi" w:hAnsi="Arial" w:cs="Arial"/>
          <w:lang w:eastAsia="en-US"/>
        </w:rPr>
        <w:t xml:space="preserve">., </w:t>
      </w:r>
      <w:r>
        <w:rPr>
          <w:rFonts w:ascii="Arial" w:eastAsiaTheme="minorHAnsi" w:hAnsi="Arial" w:cs="Arial"/>
          <w:lang w:val="en-US" w:eastAsia="en-US"/>
        </w:rPr>
        <w:t>Sarioglu</w:t>
      </w:r>
      <w:r>
        <w:rPr>
          <w:rFonts w:ascii="Arial" w:eastAsiaTheme="minorHAnsi" w:hAnsi="Arial" w:cs="Arial"/>
          <w:lang w:eastAsia="en-US"/>
        </w:rPr>
        <w:t xml:space="preserve"> </w:t>
      </w:r>
      <w:r>
        <w:rPr>
          <w:rFonts w:ascii="Arial" w:eastAsiaTheme="minorHAnsi" w:hAnsi="Arial" w:cs="Arial"/>
          <w:lang w:val="en-US" w:eastAsia="en-US"/>
        </w:rPr>
        <w:t>H</w:t>
      </w:r>
      <w:r>
        <w:rPr>
          <w:rFonts w:ascii="Arial" w:eastAsiaTheme="minorHAnsi" w:hAnsi="Arial" w:cs="Arial"/>
          <w:lang w:eastAsia="en-US"/>
        </w:rPr>
        <w:t xml:space="preserve">., </w:t>
      </w:r>
      <w:r>
        <w:rPr>
          <w:rFonts w:ascii="Arial" w:eastAsiaTheme="minorHAnsi" w:hAnsi="Arial" w:cs="Arial"/>
          <w:lang w:val="en-US" w:eastAsia="en-US"/>
        </w:rPr>
        <w:t>Schott</w:t>
      </w:r>
      <w:r>
        <w:rPr>
          <w:rFonts w:ascii="Arial" w:eastAsiaTheme="minorHAnsi" w:hAnsi="Arial" w:cs="Arial"/>
          <w:lang w:eastAsia="en-US"/>
        </w:rPr>
        <w:t xml:space="preserve"> </w:t>
      </w:r>
      <w:r>
        <w:rPr>
          <w:rFonts w:ascii="Arial" w:eastAsiaTheme="minorHAnsi" w:hAnsi="Arial" w:cs="Arial"/>
          <w:lang w:val="en-US" w:eastAsia="en-US"/>
        </w:rPr>
        <w:t>C</w:t>
      </w:r>
      <w:r>
        <w:rPr>
          <w:rFonts w:ascii="Arial" w:eastAsiaTheme="minorHAnsi" w:hAnsi="Arial" w:cs="Arial"/>
          <w:lang w:eastAsia="en-US"/>
        </w:rPr>
        <w:t xml:space="preserve">., </w:t>
      </w:r>
      <w:r>
        <w:rPr>
          <w:rFonts w:ascii="Arial" w:eastAsiaTheme="minorHAnsi" w:hAnsi="Arial" w:cs="Arial"/>
          <w:lang w:val="en-US" w:eastAsia="en-US"/>
        </w:rPr>
        <w:t>et</w:t>
      </w:r>
      <w:r>
        <w:rPr>
          <w:rFonts w:ascii="Arial" w:eastAsiaTheme="minorHAnsi" w:hAnsi="Arial" w:cs="Arial"/>
          <w:lang w:eastAsia="en-US"/>
        </w:rPr>
        <w:t xml:space="preserve"> </w:t>
      </w:r>
      <w:r>
        <w:rPr>
          <w:rFonts w:ascii="Arial" w:eastAsiaTheme="minorHAnsi" w:hAnsi="Arial" w:cs="Arial"/>
          <w:lang w:val="en-US" w:eastAsia="en-US"/>
        </w:rPr>
        <w:t>al</w:t>
      </w:r>
      <w:r>
        <w:rPr>
          <w:rFonts w:ascii="Arial" w:eastAsiaTheme="minorHAnsi" w:hAnsi="Arial" w:cs="Arial"/>
          <w:lang w:eastAsia="en-US"/>
        </w:rPr>
        <w:t>. Вариативность уровней белка и фосфопротеина в клинических образцах тканей в течение преданалитической фазы. Журнал исследований протеома 2012 Дек 7; 11(12):5748-62.</w:t>
      </w:r>
    </w:p>
    <w:p w:rsidR="000E6FD9" w:rsidRDefault="00233458" w:rsidP="00233458">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Стандартизация и совершенствование общих преданалитических инструментов и процедур для диагностики </w:t>
      </w:r>
      <w:r>
        <w:rPr>
          <w:rFonts w:ascii="Arial" w:eastAsiaTheme="minorHAnsi" w:hAnsi="Arial" w:cs="Arial"/>
          <w:lang w:val="en-US" w:eastAsia="en-US"/>
        </w:rPr>
        <w:t>in</w:t>
      </w:r>
      <w:r>
        <w:rPr>
          <w:rFonts w:ascii="Arial" w:eastAsiaTheme="minorHAnsi" w:hAnsi="Arial" w:cs="Arial"/>
          <w:lang w:eastAsia="en-US"/>
        </w:rPr>
        <w:t xml:space="preserve"> </w:t>
      </w:r>
      <w:r>
        <w:rPr>
          <w:rFonts w:ascii="Arial" w:eastAsiaTheme="minorHAnsi" w:hAnsi="Arial" w:cs="Arial"/>
          <w:lang w:val="en-US" w:eastAsia="en-US"/>
        </w:rPr>
        <w:t>vitro</w:t>
      </w:r>
      <w:r>
        <w:rPr>
          <w:rFonts w:ascii="Arial" w:eastAsiaTheme="minorHAnsi" w:hAnsi="Arial" w:cs="Arial"/>
          <w:lang w:eastAsia="en-US"/>
        </w:rPr>
        <w:t xml:space="preserve"> </w:t>
      </w:r>
      <w:r>
        <w:rPr>
          <w:rFonts w:ascii="Arial" w:eastAsiaTheme="minorHAnsi" w:hAnsi="Arial" w:cs="Arial"/>
          <w:lang w:val="en-US" w:eastAsia="en-US"/>
        </w:rPr>
        <w:t>www</w:t>
      </w:r>
      <w:r>
        <w:rPr>
          <w:rFonts w:ascii="Arial" w:eastAsiaTheme="minorHAnsi" w:hAnsi="Arial" w:cs="Arial"/>
          <w:lang w:eastAsia="en-US"/>
        </w:rPr>
        <w:t>.</w:t>
      </w:r>
      <w:r>
        <w:rPr>
          <w:rFonts w:ascii="Arial" w:eastAsiaTheme="minorHAnsi" w:hAnsi="Arial" w:cs="Arial"/>
          <w:lang w:val="en-US" w:eastAsia="en-US"/>
        </w:rPr>
        <w:t>spidia</w:t>
      </w:r>
      <w:r>
        <w:rPr>
          <w:rFonts w:ascii="Arial" w:eastAsiaTheme="minorHAnsi" w:hAnsi="Arial" w:cs="Arial"/>
          <w:lang w:eastAsia="en-US"/>
        </w:rPr>
        <w:t>.</w:t>
      </w:r>
      <w:r>
        <w:rPr>
          <w:rFonts w:ascii="Arial" w:eastAsiaTheme="minorHAnsi" w:hAnsi="Arial" w:cs="Arial"/>
          <w:lang w:val="en-US" w:eastAsia="en-US"/>
        </w:rPr>
        <w:t>eu</w:t>
      </w:r>
      <w:r>
        <w:rPr>
          <w:rFonts w:ascii="Arial" w:eastAsiaTheme="minorHAnsi" w:hAnsi="Arial" w:cs="Arial"/>
          <w:lang w:eastAsia="en-US"/>
        </w:rPr>
        <w:br w:type="page"/>
      </w:r>
    </w:p>
    <w:p w:rsidR="003F7D00" w:rsidRDefault="00233458">
      <w:pPr>
        <w:pStyle w:val="1"/>
        <w:spacing w:before="0"/>
        <w:jc w:val="center"/>
        <w:rPr>
          <w:rFonts w:ascii="Arial" w:hAnsi="Arial" w:cs="Arial"/>
          <w:color w:val="auto"/>
          <w:sz w:val="24"/>
          <w:szCs w:val="24"/>
        </w:rPr>
      </w:pPr>
      <w:bookmarkStart w:id="37" w:name="_Toc40995908"/>
      <w:r w:rsidRPr="003F7D00">
        <w:rPr>
          <w:rFonts w:ascii="Arial" w:hAnsi="Arial" w:cs="Arial"/>
          <w:color w:val="auto"/>
          <w:sz w:val="24"/>
          <w:szCs w:val="24"/>
        </w:rPr>
        <w:lastRenderedPageBreak/>
        <w:t>Приложение ДА</w:t>
      </w:r>
      <w:r w:rsidRPr="003F7D00">
        <w:rPr>
          <w:rFonts w:ascii="Arial" w:hAnsi="Arial" w:cs="Arial"/>
          <w:color w:val="auto"/>
          <w:sz w:val="24"/>
          <w:szCs w:val="24"/>
        </w:rPr>
        <w:br/>
      </w:r>
      <w:r w:rsidRPr="003F7D00">
        <w:rPr>
          <w:rFonts w:ascii="Arial" w:hAnsi="Arial" w:cs="Arial"/>
          <w:b w:val="0"/>
          <w:color w:val="auto"/>
          <w:sz w:val="24"/>
          <w:szCs w:val="24"/>
        </w:rPr>
        <w:t>(справочное)</w:t>
      </w:r>
    </w:p>
    <w:p w:rsidR="000E6FD9" w:rsidRPr="003F7D00" w:rsidRDefault="00233458">
      <w:pPr>
        <w:pStyle w:val="1"/>
        <w:spacing w:before="0"/>
        <w:jc w:val="center"/>
        <w:rPr>
          <w:rFonts w:ascii="Arial" w:hAnsi="Arial" w:cs="Arial"/>
          <w:color w:val="auto"/>
          <w:sz w:val="24"/>
          <w:szCs w:val="24"/>
        </w:rPr>
      </w:pPr>
      <w:r w:rsidRPr="003F7D00">
        <w:rPr>
          <w:rFonts w:ascii="Arial" w:hAnsi="Arial" w:cs="Arial"/>
          <w:color w:val="auto"/>
          <w:sz w:val="24"/>
          <w:szCs w:val="24"/>
        </w:rPr>
        <w:t>Сведения о соответствии ссылочных международных стандартов национальным стандартам</w:t>
      </w:r>
      <w:bookmarkEnd w:id="37"/>
    </w:p>
    <w:p w:rsidR="000E6FD9" w:rsidRDefault="000E6FD9">
      <w:pPr>
        <w:spacing w:line="360" w:lineRule="auto"/>
        <w:rPr>
          <w:rFonts w:ascii="Arial" w:hAnsi="Arial" w:cs="Arial"/>
          <w:spacing w:val="40"/>
        </w:rPr>
      </w:pPr>
    </w:p>
    <w:p w:rsidR="000E6FD9" w:rsidRDefault="00233458">
      <w:pPr>
        <w:spacing w:line="360" w:lineRule="auto"/>
        <w:rPr>
          <w:rFonts w:ascii="Arial" w:hAnsi="Arial" w:cs="Arial"/>
        </w:rPr>
      </w:pPr>
      <w:r>
        <w:rPr>
          <w:rFonts w:ascii="Arial" w:hAnsi="Arial" w:cs="Arial"/>
          <w:spacing w:val="40"/>
        </w:rPr>
        <w:t>Таблица</w:t>
      </w:r>
      <w:r>
        <w:rPr>
          <w:rFonts w:ascii="Arial" w:hAnsi="Arial" w:cs="Arial"/>
        </w:rPr>
        <w:t xml:space="preserve"> ДА.1</w:t>
      </w:r>
    </w:p>
    <w:tbl>
      <w:tblPr>
        <w:tblW w:w="9791" w:type="dxa"/>
        <w:jc w:val="center"/>
        <w:tblBorders>
          <w:top w:val="single" w:sz="4" w:space="0" w:color="00000A"/>
          <w:left w:val="single" w:sz="4" w:space="0" w:color="00000A"/>
          <w:bottom w:val="double" w:sz="4" w:space="0" w:color="00000A"/>
          <w:right w:val="single" w:sz="4" w:space="0" w:color="00000A"/>
          <w:insideH w:val="double" w:sz="4" w:space="0" w:color="00000A"/>
          <w:insideV w:val="single" w:sz="4" w:space="0" w:color="00000A"/>
        </w:tblBorders>
        <w:tblLayout w:type="fixed"/>
        <w:tblLook w:val="04A0" w:firstRow="1" w:lastRow="0" w:firstColumn="1" w:lastColumn="0" w:noHBand="0" w:noVBand="1"/>
      </w:tblPr>
      <w:tblGrid>
        <w:gridCol w:w="2662"/>
        <w:gridCol w:w="1706"/>
        <w:gridCol w:w="5423"/>
      </w:tblGrid>
      <w:tr w:rsidR="000E6FD9">
        <w:trPr>
          <w:jc w:val="center"/>
        </w:trPr>
        <w:tc>
          <w:tcPr>
            <w:tcW w:w="2662" w:type="dxa"/>
            <w:tcBorders>
              <w:top w:val="single" w:sz="4" w:space="0" w:color="00000A"/>
              <w:left w:val="single" w:sz="4" w:space="0" w:color="00000A"/>
              <w:bottom w:val="double" w:sz="4" w:space="0" w:color="00000A"/>
              <w:right w:val="single" w:sz="4" w:space="0" w:color="00000A"/>
            </w:tcBorders>
            <w:shd w:val="clear" w:color="auto" w:fill="auto"/>
            <w:tcMar>
              <w:left w:w="108" w:type="dxa"/>
            </w:tcMar>
            <w:vAlign w:val="center"/>
          </w:tcPr>
          <w:p w:rsidR="000E6FD9" w:rsidRDefault="00233458" w:rsidP="00233458">
            <w:pPr>
              <w:spacing w:after="0" w:line="360" w:lineRule="auto"/>
              <w:jc w:val="center"/>
              <w:rPr>
                <w:rFonts w:ascii="Arial" w:hAnsi="Arial" w:cs="Arial"/>
              </w:rPr>
            </w:pPr>
            <w:r>
              <w:rPr>
                <w:rFonts w:ascii="Arial" w:hAnsi="Arial" w:cs="Arial"/>
              </w:rPr>
              <w:t>Обозначение ссылочного международного стандарта</w:t>
            </w:r>
          </w:p>
        </w:tc>
        <w:tc>
          <w:tcPr>
            <w:tcW w:w="1706" w:type="dxa"/>
            <w:tcBorders>
              <w:top w:val="single" w:sz="4" w:space="0" w:color="00000A"/>
              <w:left w:val="single" w:sz="4" w:space="0" w:color="00000A"/>
              <w:bottom w:val="double" w:sz="4" w:space="0" w:color="00000A"/>
              <w:right w:val="single" w:sz="4" w:space="0" w:color="00000A"/>
            </w:tcBorders>
            <w:shd w:val="clear" w:color="auto" w:fill="auto"/>
            <w:tcMar>
              <w:left w:w="108" w:type="dxa"/>
            </w:tcMar>
          </w:tcPr>
          <w:p w:rsidR="000E6FD9" w:rsidRDefault="00233458" w:rsidP="00233458">
            <w:pPr>
              <w:spacing w:after="0" w:line="360" w:lineRule="auto"/>
              <w:jc w:val="center"/>
              <w:rPr>
                <w:rFonts w:ascii="Arial" w:hAnsi="Arial" w:cs="Arial"/>
              </w:rPr>
            </w:pPr>
            <w:r>
              <w:rPr>
                <w:rFonts w:ascii="Arial" w:hAnsi="Arial" w:cs="Arial"/>
              </w:rPr>
              <w:t>Степень соответствия</w:t>
            </w:r>
          </w:p>
        </w:tc>
        <w:tc>
          <w:tcPr>
            <w:tcW w:w="5423" w:type="dxa"/>
            <w:tcBorders>
              <w:top w:val="single" w:sz="4" w:space="0" w:color="00000A"/>
              <w:left w:val="single" w:sz="4" w:space="0" w:color="00000A"/>
              <w:bottom w:val="double" w:sz="4" w:space="0" w:color="00000A"/>
              <w:right w:val="single" w:sz="4" w:space="0" w:color="00000A"/>
            </w:tcBorders>
            <w:shd w:val="clear" w:color="auto" w:fill="auto"/>
            <w:tcMar>
              <w:left w:w="108" w:type="dxa"/>
            </w:tcMar>
          </w:tcPr>
          <w:p w:rsidR="000E6FD9" w:rsidRDefault="00233458" w:rsidP="00233458">
            <w:pPr>
              <w:spacing w:after="0" w:line="360" w:lineRule="auto"/>
              <w:jc w:val="center"/>
              <w:rPr>
                <w:rFonts w:ascii="Arial" w:hAnsi="Arial" w:cs="Arial"/>
              </w:rPr>
            </w:pPr>
            <w:r>
              <w:rPr>
                <w:rFonts w:ascii="Arial" w:hAnsi="Arial" w:cs="Arial"/>
              </w:rPr>
              <w:t>Обозначение и наименование соответствующего национального стандарта</w:t>
            </w:r>
          </w:p>
        </w:tc>
      </w:tr>
      <w:tr w:rsidR="000E6FD9">
        <w:trPr>
          <w:jc w:val="center"/>
        </w:trPr>
        <w:tc>
          <w:tcPr>
            <w:tcW w:w="2662"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0E6FD9" w:rsidRDefault="00233458" w:rsidP="00DC44EC">
            <w:pPr>
              <w:spacing w:after="0" w:line="360" w:lineRule="auto"/>
              <w:jc w:val="both"/>
              <w:rPr>
                <w:rFonts w:ascii="Arial" w:hAnsi="Arial" w:cs="Arial"/>
                <w:lang w:val="en-US"/>
              </w:rPr>
            </w:pPr>
            <w:r>
              <w:rPr>
                <w:rFonts w:ascii="Arial" w:hAnsi="Arial" w:cs="Arial"/>
                <w:lang w:val="en-US"/>
              </w:rPr>
              <w:t>ISO 15189:2012</w:t>
            </w:r>
          </w:p>
        </w:tc>
        <w:tc>
          <w:tcPr>
            <w:tcW w:w="1706"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0E6FD9" w:rsidRDefault="00233458" w:rsidP="00DC44EC">
            <w:pPr>
              <w:spacing w:after="0" w:line="360" w:lineRule="auto"/>
              <w:jc w:val="center"/>
              <w:rPr>
                <w:rFonts w:ascii="Arial" w:hAnsi="Arial" w:cs="Arial"/>
                <w:lang w:val="en-US"/>
              </w:rPr>
            </w:pPr>
            <w:r>
              <w:rPr>
                <w:rFonts w:ascii="Arial" w:hAnsi="Arial" w:cs="Arial"/>
                <w:lang w:val="en-US"/>
              </w:rPr>
              <w:t>IDT</w:t>
            </w:r>
          </w:p>
        </w:tc>
        <w:tc>
          <w:tcPr>
            <w:tcW w:w="5423"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0E6FD9" w:rsidRDefault="00233458" w:rsidP="00DC44EC">
            <w:pPr>
              <w:spacing w:after="0" w:line="360" w:lineRule="auto"/>
              <w:jc w:val="both"/>
              <w:rPr>
                <w:rFonts w:ascii="Arial" w:hAnsi="Arial" w:cs="Arial"/>
              </w:rPr>
            </w:pPr>
            <w:r>
              <w:rPr>
                <w:rFonts w:ascii="Arial" w:hAnsi="Arial" w:cs="Arial"/>
              </w:rPr>
              <w:t>ГОСТ Р ИСО 15189-2015 Лаборатории медицинские. Частные требования к качеству и компетентности</w:t>
            </w:r>
          </w:p>
        </w:tc>
      </w:tr>
      <w:tr w:rsidR="00233458">
        <w:trPr>
          <w:jc w:val="center"/>
        </w:trPr>
        <w:tc>
          <w:tcPr>
            <w:tcW w:w="2662"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233458" w:rsidRDefault="00DC44EC" w:rsidP="00233458">
            <w:pPr>
              <w:spacing w:after="0" w:line="360" w:lineRule="auto"/>
              <w:jc w:val="both"/>
              <w:rPr>
                <w:rFonts w:ascii="Arial" w:hAnsi="Arial" w:cs="Arial"/>
                <w:lang w:val="en-US"/>
              </w:rPr>
            </w:pPr>
            <w:r>
              <w:rPr>
                <w:rFonts w:ascii="Arial" w:hAnsi="Arial" w:cs="Arial"/>
                <w:lang w:val="en-US"/>
              </w:rPr>
              <w:t xml:space="preserve">ISO </w:t>
            </w:r>
            <w:r>
              <w:rPr>
                <w:rFonts w:ascii="Arial" w:hAnsi="Arial" w:cs="Arial"/>
              </w:rPr>
              <w:t>15190</w:t>
            </w:r>
          </w:p>
        </w:tc>
        <w:tc>
          <w:tcPr>
            <w:tcW w:w="1706"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233458" w:rsidRDefault="00DC44EC" w:rsidP="00233458">
            <w:pPr>
              <w:spacing w:after="0" w:line="360" w:lineRule="auto"/>
              <w:jc w:val="center"/>
              <w:rPr>
                <w:rFonts w:ascii="Arial" w:hAnsi="Arial" w:cs="Arial"/>
                <w:lang w:val="en-US"/>
              </w:rPr>
            </w:pPr>
            <w:r>
              <w:rPr>
                <w:rFonts w:ascii="Arial" w:hAnsi="Arial" w:cs="Arial"/>
                <w:lang w:val="en-US"/>
              </w:rPr>
              <w:t>MOD</w:t>
            </w:r>
          </w:p>
        </w:tc>
        <w:tc>
          <w:tcPr>
            <w:tcW w:w="5423"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233458" w:rsidRDefault="00DC44EC" w:rsidP="00233458">
            <w:pPr>
              <w:spacing w:after="0" w:line="360" w:lineRule="auto"/>
              <w:jc w:val="both"/>
              <w:rPr>
                <w:rFonts w:ascii="Arial" w:hAnsi="Arial" w:cs="Arial"/>
              </w:rPr>
            </w:pPr>
            <w:r>
              <w:rPr>
                <w:rFonts w:ascii="Arial" w:hAnsi="Arial" w:cs="Arial"/>
              </w:rPr>
              <w:t>ГОСТ Р 52905-2007 (ИСО 15190:2003) Лаборатории медицинские. Требования безопасности</w:t>
            </w:r>
          </w:p>
        </w:tc>
      </w:tr>
      <w:tr w:rsidR="00233458">
        <w:trPr>
          <w:jc w:val="center"/>
        </w:trPr>
        <w:tc>
          <w:tcPr>
            <w:tcW w:w="2662"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233458" w:rsidRDefault="00DC44EC" w:rsidP="00233458">
            <w:pPr>
              <w:spacing w:after="0" w:line="360" w:lineRule="auto"/>
              <w:jc w:val="both"/>
              <w:rPr>
                <w:rFonts w:ascii="Arial" w:hAnsi="Arial" w:cs="Arial"/>
                <w:lang w:val="en-US"/>
              </w:rPr>
            </w:pPr>
            <w:r>
              <w:rPr>
                <w:rFonts w:ascii="Arial" w:eastAsiaTheme="minorHAnsi" w:hAnsi="Arial" w:cs="Arial"/>
                <w:lang w:eastAsia="en-US" w:bidi="en-US"/>
              </w:rPr>
              <w:t>ISO</w:t>
            </w:r>
            <w:r>
              <w:rPr>
                <w:rFonts w:ascii="Arial" w:eastAsiaTheme="minorHAnsi" w:hAnsi="Arial" w:cs="Arial"/>
                <w:lang w:eastAsia="en-US"/>
              </w:rPr>
              <w:t>/</w:t>
            </w:r>
            <w:r>
              <w:rPr>
                <w:rFonts w:ascii="Arial" w:eastAsiaTheme="minorHAnsi" w:hAnsi="Arial" w:cs="Arial"/>
                <w:lang w:eastAsia="en-US" w:bidi="en-US"/>
              </w:rPr>
              <w:t>IEC</w:t>
            </w:r>
            <w:r>
              <w:rPr>
                <w:rFonts w:ascii="Arial" w:eastAsiaTheme="minorHAnsi" w:hAnsi="Arial" w:cs="Arial"/>
                <w:lang w:eastAsia="en-US"/>
              </w:rPr>
              <w:t xml:space="preserve"> 17020:2012</w:t>
            </w:r>
          </w:p>
        </w:tc>
        <w:tc>
          <w:tcPr>
            <w:tcW w:w="1706"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233458" w:rsidRDefault="00DC44EC" w:rsidP="00233458">
            <w:pPr>
              <w:spacing w:after="0" w:line="360" w:lineRule="auto"/>
              <w:jc w:val="center"/>
              <w:rPr>
                <w:rFonts w:ascii="Arial" w:hAnsi="Arial" w:cs="Arial"/>
                <w:lang w:val="en-US"/>
              </w:rPr>
            </w:pPr>
            <w:r>
              <w:rPr>
                <w:rFonts w:ascii="Arial" w:hAnsi="Arial" w:cs="Arial"/>
                <w:lang w:val="en-US"/>
              </w:rPr>
              <w:t>IDT</w:t>
            </w:r>
          </w:p>
        </w:tc>
        <w:tc>
          <w:tcPr>
            <w:tcW w:w="5423"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233458" w:rsidRDefault="00DC44EC" w:rsidP="00233458">
            <w:pPr>
              <w:spacing w:after="0" w:line="360" w:lineRule="auto"/>
              <w:jc w:val="both"/>
              <w:rPr>
                <w:rFonts w:ascii="Arial" w:hAnsi="Arial" w:cs="Arial"/>
              </w:rPr>
            </w:pPr>
            <w:r>
              <w:rPr>
                <w:rFonts w:ascii="Arial" w:hAnsi="Arial" w:cs="Arial"/>
              </w:rPr>
              <w:t>ГОСТ Р ИСО/МЭК 17020-2012 Оценка соответствия. Требования к работе различных типов органов инспекции</w:t>
            </w:r>
          </w:p>
        </w:tc>
      </w:tr>
      <w:tr w:rsidR="000E6FD9">
        <w:trPr>
          <w:jc w:val="center"/>
        </w:trPr>
        <w:tc>
          <w:tcPr>
            <w:tcW w:w="9791" w:type="dxa"/>
            <w:gridSpan w:val="3"/>
            <w:tcBorders>
              <w:top w:val="single" w:sz="4" w:space="0" w:color="auto"/>
              <w:left w:val="single" w:sz="4" w:space="0" w:color="00000A"/>
              <w:bottom w:val="single" w:sz="4" w:space="0" w:color="00000A"/>
              <w:right w:val="single" w:sz="4" w:space="0" w:color="00000A"/>
            </w:tcBorders>
            <w:shd w:val="clear" w:color="auto" w:fill="auto"/>
            <w:tcMar>
              <w:left w:w="108" w:type="dxa"/>
            </w:tcMar>
          </w:tcPr>
          <w:p w:rsidR="000E6FD9" w:rsidRDefault="00233458" w:rsidP="00233458">
            <w:pPr>
              <w:spacing w:after="0" w:line="360" w:lineRule="auto"/>
              <w:ind w:firstLine="720"/>
              <w:jc w:val="both"/>
              <w:rPr>
                <w:rFonts w:ascii="Arial" w:hAnsi="Arial" w:cs="Arial"/>
                <w:sz w:val="20"/>
                <w:szCs w:val="20"/>
              </w:rPr>
            </w:pPr>
            <w:r>
              <w:rPr>
                <w:rFonts w:ascii="Arial" w:hAnsi="Arial" w:cs="Arial"/>
                <w:sz w:val="20"/>
                <w:szCs w:val="20"/>
              </w:rPr>
              <w:t>Примечани</w:t>
            </w:r>
            <w:proofErr w:type="gramStart"/>
            <w:r>
              <w:rPr>
                <w:rFonts w:ascii="Arial" w:hAnsi="Arial" w:cs="Arial"/>
                <w:sz w:val="20"/>
                <w:szCs w:val="20"/>
              </w:rPr>
              <w:t>е–</w:t>
            </w:r>
            <w:proofErr w:type="gramEnd"/>
            <w:r>
              <w:rPr>
                <w:rFonts w:ascii="Arial" w:hAnsi="Arial" w:cs="Arial"/>
                <w:sz w:val="20"/>
                <w:szCs w:val="20"/>
              </w:rPr>
              <w:t xml:space="preserve"> В настоящей таблице использовано следующее условное обозначение степени соответствия стандартов:</w:t>
            </w:r>
          </w:p>
          <w:p w:rsidR="00233458" w:rsidRDefault="00233458" w:rsidP="00233458">
            <w:pPr>
              <w:spacing w:after="0" w:line="360" w:lineRule="auto"/>
              <w:ind w:firstLine="720"/>
              <w:jc w:val="both"/>
              <w:rPr>
                <w:rFonts w:ascii="Arial" w:hAnsi="Arial" w:cs="Arial"/>
                <w:sz w:val="20"/>
                <w:szCs w:val="20"/>
              </w:rPr>
            </w:pPr>
            <w:r>
              <w:rPr>
                <w:rFonts w:ascii="Arial" w:hAnsi="Arial" w:cs="Arial"/>
                <w:sz w:val="20"/>
                <w:szCs w:val="20"/>
              </w:rPr>
              <w:t xml:space="preserve">- </w:t>
            </w:r>
            <w:r>
              <w:rPr>
                <w:rFonts w:ascii="Arial" w:hAnsi="Arial" w:cs="Arial"/>
                <w:sz w:val="20"/>
                <w:szCs w:val="20"/>
                <w:lang w:val="en-US"/>
              </w:rPr>
              <w:t>IDT</w:t>
            </w:r>
            <w:r>
              <w:rPr>
                <w:rFonts w:ascii="Arial" w:hAnsi="Arial" w:cs="Arial"/>
                <w:sz w:val="20"/>
                <w:szCs w:val="20"/>
              </w:rPr>
              <w:t xml:space="preserve"> – идентичные стандарты;</w:t>
            </w:r>
          </w:p>
          <w:p w:rsidR="000E6FD9" w:rsidRDefault="00233458" w:rsidP="00233458">
            <w:pPr>
              <w:spacing w:after="0" w:line="360" w:lineRule="auto"/>
              <w:ind w:firstLine="720"/>
              <w:jc w:val="both"/>
              <w:rPr>
                <w:rFonts w:ascii="Arial" w:hAnsi="Arial" w:cs="Arial"/>
              </w:rPr>
            </w:pPr>
            <w:r>
              <w:rPr>
                <w:rFonts w:ascii="Arial" w:hAnsi="Arial" w:cs="Arial"/>
                <w:sz w:val="20"/>
                <w:szCs w:val="20"/>
              </w:rPr>
              <w:t xml:space="preserve">- </w:t>
            </w:r>
            <w:r>
              <w:rPr>
                <w:rFonts w:ascii="Arial" w:hAnsi="Arial" w:cs="Arial"/>
                <w:sz w:val="20"/>
                <w:szCs w:val="20"/>
                <w:lang w:val="en-US"/>
              </w:rPr>
              <w:t>MOD</w:t>
            </w:r>
            <w:r>
              <w:rPr>
                <w:rFonts w:ascii="Arial" w:hAnsi="Arial" w:cs="Arial"/>
                <w:sz w:val="20"/>
                <w:szCs w:val="20"/>
              </w:rPr>
              <w:t xml:space="preserve"> – модифицированные стандарты.</w:t>
            </w:r>
          </w:p>
        </w:tc>
      </w:tr>
    </w:tbl>
    <w:p w:rsidR="000E6FD9" w:rsidRDefault="00233458">
      <w:pPr>
        <w:spacing w:line="360" w:lineRule="auto"/>
        <w:ind w:firstLine="720"/>
        <w:jc w:val="both"/>
        <w:rPr>
          <w:rFonts w:ascii="Arial" w:hAnsi="Arial" w:cs="Arial"/>
        </w:rPr>
      </w:pPr>
      <w:r>
        <w:br w:type="page"/>
      </w:r>
    </w:p>
    <w:p w:rsidR="000E6FD9" w:rsidRDefault="00233458">
      <w:pPr>
        <w:pStyle w:val="1"/>
        <w:spacing w:before="240" w:after="240"/>
        <w:jc w:val="center"/>
        <w:rPr>
          <w:rFonts w:ascii="Arial" w:hAnsi="Arial" w:cs="Arial"/>
          <w:color w:val="auto"/>
          <w:lang w:val="en-US"/>
        </w:rPr>
      </w:pPr>
      <w:bookmarkStart w:id="38" w:name="_Toc40995909"/>
      <w:r>
        <w:rPr>
          <w:rFonts w:ascii="Arial" w:hAnsi="Arial" w:cs="Arial"/>
          <w:color w:val="auto"/>
        </w:rPr>
        <w:lastRenderedPageBreak/>
        <w:t>Библиография</w:t>
      </w:r>
      <w:bookmarkEnd w:id="38"/>
    </w:p>
    <w:p w:rsidR="000E6FD9" w:rsidRDefault="00233458">
      <w:pPr>
        <w:suppressAutoHyphens w:val="0"/>
        <w:spacing w:line="360" w:lineRule="auto"/>
        <w:jc w:val="both"/>
        <w:rPr>
          <w:rFonts w:ascii="Arial" w:hAnsi="Arial" w:cs="Arial"/>
          <w:lang w:val="en-US" w:eastAsia="ja-JP"/>
        </w:rPr>
      </w:pPr>
      <w:r>
        <w:rPr>
          <w:rFonts w:ascii="Arial" w:hAnsi="Arial" w:cs="Arial"/>
          <w:lang w:val="en-US" w:eastAsia="ja-JP"/>
        </w:rPr>
        <w:t>[1]</w:t>
      </w:r>
      <w:r>
        <w:rPr>
          <w:rFonts w:ascii="Arial" w:hAnsi="Arial" w:cs="Arial"/>
          <w:lang w:val="en-US" w:eastAsia="ja-JP"/>
        </w:rPr>
        <w:tab/>
        <w:t>ISO Guide 30:2015, Reference materials ——Selected terms and definitions</w:t>
      </w:r>
    </w:p>
    <w:p w:rsidR="000E6FD9" w:rsidRDefault="00233458">
      <w:pPr>
        <w:suppressAutoHyphens w:val="0"/>
        <w:spacing w:line="360" w:lineRule="auto"/>
        <w:jc w:val="both"/>
        <w:rPr>
          <w:rFonts w:ascii="Arial" w:hAnsi="Arial" w:cs="Arial"/>
          <w:lang w:val="en-US" w:eastAsia="ja-JP"/>
        </w:rPr>
      </w:pPr>
      <w:r>
        <w:rPr>
          <w:rFonts w:ascii="Arial" w:hAnsi="Arial" w:cs="Arial"/>
          <w:lang w:val="en-US" w:eastAsia="ja-JP"/>
        </w:rPr>
        <w:t>[2]</w:t>
      </w:r>
      <w:r>
        <w:rPr>
          <w:rFonts w:ascii="Arial" w:hAnsi="Arial" w:cs="Arial"/>
          <w:lang w:val="en-US" w:eastAsia="ja-JP"/>
        </w:rPr>
        <w:tab/>
        <w:t>ISO 9000:2015, Quality management systems — Fundamentals and vocabulary</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[3]</w:t>
      </w:r>
      <w:r>
        <w:rPr>
          <w:rFonts w:ascii="Arial" w:hAnsi="Arial" w:cs="Arial"/>
          <w:lang w:val="en-US" w:eastAsia="ja-JP"/>
        </w:rPr>
        <w:tab/>
        <w:t>ISO 17511:2003, In vitro diagnostic medical devices — Measurement of quantities in biological samples — Metrological traceability of values assigned to calibrators and control materials</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[4]</w:t>
      </w:r>
      <w:r>
        <w:rPr>
          <w:rFonts w:ascii="Arial" w:hAnsi="Arial" w:cs="Arial"/>
          <w:lang w:val="en-US" w:eastAsia="ja-JP"/>
        </w:rPr>
        <w:tab/>
        <w:t>IKEDA K., MONDEN T” KANOH T. et al. Extraction and analysis of diagnostically useful proteins from formalin-fixed, paraffin-embedded tissue sections. J. Histochem. Cytochem. 1998 Mar, 46 (3) pp. 397-403</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[5]</w:t>
      </w:r>
      <w:r>
        <w:rPr>
          <w:rFonts w:ascii="Arial" w:hAnsi="Arial" w:cs="Arial"/>
          <w:lang w:val="en-US" w:eastAsia="ja-JP"/>
        </w:rPr>
        <w:tab/>
        <w:t>BECKER K.F., SCHOTT C., HIPP S. et al. Quantitative protein analysis from formalin-fixed tissues</w:t>
      </w:r>
      <w:r>
        <w:rPr>
          <w:rFonts w:ascii="Arial" w:eastAsia="MS Gothic" w:hAnsi="Arial" w:cs="Arial"/>
          <w:lang w:val="en-US" w:eastAsia="ja-JP"/>
        </w:rPr>
        <w:t>：</w:t>
      </w:r>
      <w:r>
        <w:rPr>
          <w:rFonts w:ascii="Arial" w:hAnsi="Arial" w:cs="Arial"/>
          <w:lang w:val="en-US" w:eastAsia="ja-JP"/>
        </w:rPr>
        <w:t xml:space="preserve"> implications for translational clinical research and nanoscale molecular diagnosis. J. Pathol. 2007, 211</w:t>
      </w:r>
      <w:r>
        <w:rPr>
          <w:rFonts w:ascii="Cambria Math" w:hAnsi="Cambria Math" w:cs="Cambria Math"/>
          <w:lang w:eastAsia="ja-JP"/>
        </w:rPr>
        <w:t>〔</w:t>
      </w:r>
      <w:r>
        <w:rPr>
          <w:rFonts w:ascii="Arial" w:hAnsi="Arial" w:cs="Arial"/>
          <w:lang w:val="en-US" w:eastAsia="ja-JP"/>
        </w:rPr>
        <w:t>3) pp. 370-378</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[6]</w:t>
      </w:r>
      <w:r>
        <w:rPr>
          <w:rFonts w:ascii="Arial" w:hAnsi="Arial" w:cs="Arial"/>
          <w:lang w:val="en-US" w:eastAsia="ja-JP"/>
        </w:rPr>
        <w:tab/>
        <w:t>SHI S.R., TAYLOR C.R., FOWLER C.B. et al. Complete solubilization of formalin-fixed, paraffin- embedded tissue may improve proteomic studies. Proteomics Clin. Appl. 2013 Apr, 7 (3-4) pp. 264-272</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[7]</w:t>
      </w:r>
      <w:r>
        <w:rPr>
          <w:rFonts w:ascii="Arial" w:hAnsi="Arial" w:cs="Arial"/>
          <w:lang w:val="en-US" w:eastAsia="ja-JP"/>
        </w:rPr>
        <w:tab/>
        <w:t>JUNGBLUT P., THIEDE B., ZIMNY-ARNDT U. Resolution power of two-dimensional electrophoresis and identification of proteins from gels. Electrophoresis. 1996 May, 17 [5) pp. 839-847</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[8]</w:t>
      </w:r>
      <w:r>
        <w:rPr>
          <w:rFonts w:ascii="Arial" w:hAnsi="Arial" w:cs="Arial"/>
          <w:lang w:val="en-US" w:eastAsia="ja-JP"/>
        </w:rPr>
        <w:tab/>
        <w:t>STOLERMAN I.P. ed. Encyclopedia of Psychopharmacology. Springer-Verlag, Berlin, Heidelberg, Germany, 2010</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[9]</w:t>
      </w:r>
      <w:r>
        <w:rPr>
          <w:rFonts w:ascii="Arial" w:hAnsi="Arial" w:cs="Arial"/>
          <w:lang w:val="en-US" w:eastAsia="ja-JP"/>
        </w:rPr>
        <w:tab/>
        <w:t>GUNDISCH S., HAUCK S., SARIOGLU H. Variability of protein and phosphoprotein amounts in clinical tissue specimens during the preanalytical phase. J. Proteome Res. 2012 Dec 7, 11 (12) pp. 5748-5762</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[10]</w:t>
      </w:r>
      <w:r>
        <w:rPr>
          <w:rFonts w:ascii="Arial" w:hAnsi="Arial" w:cs="Arial"/>
          <w:lang w:val="en-US" w:eastAsia="ja-JP"/>
        </w:rPr>
        <w:tab/>
        <w:t>ESPINA V” EDMISTON K.H., HEIBY M. A portrait of tissue phosphoprotein stability in the clinical tissue procurement process. Mol. Cell. Proteomics. 2008 Oct, 7</w:t>
      </w:r>
      <w:r>
        <w:rPr>
          <w:rFonts w:ascii="Cambria Math" w:hAnsi="Cambria Math" w:cs="Cambria Math"/>
          <w:lang w:eastAsia="ja-JP"/>
        </w:rPr>
        <w:t>〔</w:t>
      </w:r>
      <w:r>
        <w:rPr>
          <w:rFonts w:ascii="Arial" w:hAnsi="Arial" w:cs="Arial"/>
          <w:lang w:val="en-US" w:eastAsia="ja-JP"/>
        </w:rPr>
        <w:t>10) pp. 1998-2018</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lastRenderedPageBreak/>
        <w:t>[11]</w:t>
      </w:r>
      <w:r>
        <w:rPr>
          <w:rFonts w:ascii="Arial" w:hAnsi="Arial" w:cs="Arial"/>
          <w:lang w:val="en-US" w:eastAsia="ja-JP"/>
        </w:rPr>
        <w:tab/>
        <w:t>GUNDISCH S., GRUNDNER-CULEMANN K., WOLFF C. Delayed times to tissue fixation result in unpredictable global phosphoproteome changes. J. Proteome Res. 2013 Oct 4, 12 (10) pp. 4424-4434</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[12]</w:t>
      </w:r>
      <w:r>
        <w:rPr>
          <w:rFonts w:ascii="Arial" w:hAnsi="Arial" w:cs="Arial"/>
          <w:lang w:val="en-US" w:eastAsia="ja-JP"/>
        </w:rPr>
        <w:tab/>
        <w:t>VINCENTI D.C., &amp; MURRAY G.I. The proteomics of formalin-fixed wax-embedded tissue. Clin. Biochem. 2013 Apr, 46 [6) pp. 546-551</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[13]</w:t>
      </w:r>
      <w:r>
        <w:rPr>
          <w:rFonts w:ascii="Arial" w:hAnsi="Arial" w:cs="Arial"/>
          <w:lang w:val="en-US" w:eastAsia="ja-JP"/>
        </w:rPr>
        <w:tab/>
        <w:t>CONDELLI N” LETTINI G., PATITUCCI G. Validation of vacuum-based refrigerated system for biobanking tissue preservation: analysis of cellular morphology, protein stability, and RNA quality. Biopreserv. Biobank. 2014 Feb, 12 (1) pp. 35-45</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[14]</w:t>
      </w:r>
      <w:r>
        <w:rPr>
          <w:rFonts w:ascii="Arial" w:hAnsi="Arial" w:cs="Arial"/>
          <w:lang w:val="en-US" w:eastAsia="ja-JP"/>
        </w:rPr>
        <w:tab/>
        <w:t>CHU W.S., LIANG Q., TANG Y” KING R. Ultrasound-accelerated tissue fixation/processing achieves superior morphology and macromolecule integrity with storage stability. J. Histochem. Cytochem. 2006 May; 54(5): p. 503-513.</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[15]</w:t>
      </w:r>
      <w:r>
        <w:rPr>
          <w:rFonts w:ascii="Arial" w:hAnsi="Arial" w:cs="Arial"/>
          <w:lang w:val="en-US" w:eastAsia="ja-JP"/>
        </w:rPr>
        <w:tab/>
        <w:t>Fox C.H., JOHNSON F.B., WHITING J. Formaldehyde fixation./. Histochem. Cytochem. 1985 Aug, 33 (8) pp. 845-853</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[16]</w:t>
      </w:r>
      <w:r>
        <w:rPr>
          <w:rFonts w:ascii="Arial" w:hAnsi="Arial" w:cs="Arial"/>
          <w:lang w:val="en-US" w:eastAsia="ja-JP"/>
        </w:rPr>
        <w:tab/>
        <w:t xml:space="preserve">WOLFF C., SCHOTT C., PORSCHEWSKI P. Successful protein extraction from over-fixed and long¬term stored formalin-fixed tissues. PloS One Journal. 2011 Jan, 6 </w:t>
      </w:r>
      <w:r>
        <w:rPr>
          <w:rFonts w:ascii="MS Gothic" w:eastAsia="MS Gothic" w:hAnsi="MS Gothic" w:cs="MS Gothic" w:hint="eastAsia"/>
          <w:lang w:val="en-US" w:eastAsia="ja-JP"/>
        </w:rPr>
        <w:t>⑴</w:t>
      </w:r>
      <w:r>
        <w:rPr>
          <w:rFonts w:ascii="Arial" w:hAnsi="Arial" w:cs="Arial"/>
          <w:lang w:val="en-US" w:eastAsia="ja-JP"/>
        </w:rPr>
        <w:t xml:space="preserve"> p. el6353</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[17]</w:t>
      </w:r>
      <w:r>
        <w:rPr>
          <w:rFonts w:ascii="Arial" w:hAnsi="Arial" w:cs="Arial"/>
          <w:lang w:val="en-US" w:eastAsia="ja-JP"/>
        </w:rPr>
        <w:tab/>
        <w:t>TANCA A., PAGNOZZI D., FALCHI G. Impact of fixation time on GeLC-MS/MS proteomic profiling of formalin-fixed, paraffin-embedded tissues./. Proteomics. 2011 Jun, 74 (7) pp. 1015-1021 </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[18]</w:t>
      </w:r>
      <w:r>
        <w:rPr>
          <w:rFonts w:ascii="Arial" w:hAnsi="Arial" w:cs="Arial"/>
          <w:lang w:val="en-US" w:eastAsia="ja-JP"/>
        </w:rPr>
        <w:tab/>
        <w:t>HEWITT S.M., LEWIS F.A., CAO Y. Tissue handling and specimen preparation in surgical pathology: issues concerning the recovery of nucleic acids from formalin-fixed, paraffin- embedded tissue. Arch. Pathol. Lab. Med. 2008 Dec, 132</w:t>
      </w:r>
      <w:r>
        <w:rPr>
          <w:rFonts w:ascii="Cambria Math" w:hAnsi="Cambria Math" w:cs="Cambria Math"/>
          <w:lang w:eastAsia="ja-JP"/>
        </w:rPr>
        <w:t>〔</w:t>
      </w:r>
      <w:r>
        <w:rPr>
          <w:rFonts w:ascii="Arial" w:hAnsi="Arial" w:cs="Arial"/>
          <w:lang w:val="en-US" w:eastAsia="ja-JP"/>
        </w:rPr>
        <w:t>12) pp. 1929-1935</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[19]</w:t>
      </w:r>
      <w:r>
        <w:rPr>
          <w:rFonts w:ascii="Arial" w:hAnsi="Arial" w:cs="Arial"/>
          <w:lang w:val="en-US" w:eastAsia="ja-JP"/>
        </w:rPr>
        <w:tab/>
        <w:t>THOMPSON S.M., CRAVEN NIRMALAN N.J. Impact of pre-analytical factors on the proteomic analysis of formalin-fixed paraffin-embedded tissue. Proteomics Clin. Appl. 2013 Apr, 7 [3-4) pp. 241-251</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lastRenderedPageBreak/>
        <w:t>[20]</w:t>
      </w:r>
      <w:r>
        <w:rPr>
          <w:rFonts w:ascii="Arial" w:hAnsi="Arial" w:cs="Arial"/>
          <w:lang w:val="en-US" w:eastAsia="ja-JP"/>
        </w:rPr>
        <w:tab/>
        <w:t>BALGLEY B.M., GUO T., ZHAO K. Evaluation of archival time on shotgun proteomics of formalin- fixed and paraffin-embedded tissues./. Proteome Res. 2009 Feb, 8 [2) pp. 917-925</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[21]</w:t>
      </w:r>
      <w:r>
        <w:rPr>
          <w:rFonts w:ascii="Arial" w:hAnsi="Arial" w:cs="Arial"/>
          <w:lang w:val="en-US" w:eastAsia="ja-JP"/>
        </w:rPr>
        <w:tab/>
        <w:t>XIE R., CHUNG J.-Y., YLAYA K. Factors influencing the degradation of archival formalin-fixed paraffin-embedded tissue sections./. Histochem. Cytochem. 2011 Apr, 59</w:t>
      </w:r>
      <w:r>
        <w:rPr>
          <w:rFonts w:ascii="Cambria Math" w:hAnsi="Cambria Math" w:cs="Cambria Math"/>
          <w:lang w:eastAsia="ja-JP"/>
        </w:rPr>
        <w:t>〔</w:t>
      </w:r>
      <w:r>
        <w:rPr>
          <w:rFonts w:ascii="Arial" w:hAnsi="Arial" w:cs="Arial"/>
          <w:lang w:val="en-US" w:eastAsia="ja-JP"/>
        </w:rPr>
        <w:t>4) pp. 356-365</w:t>
      </w:r>
    </w:p>
    <w:p w:rsidR="000E6FD9" w:rsidRDefault="00233458">
      <w:pPr>
        <w:suppressAutoHyphens w:val="0"/>
        <w:spacing w:line="360" w:lineRule="auto"/>
        <w:jc w:val="both"/>
        <w:rPr>
          <w:rFonts w:ascii="Arial" w:hAnsi="Arial" w:cs="Arial"/>
          <w:lang w:val="en-US" w:eastAsia="ja-JP"/>
        </w:rPr>
      </w:pPr>
      <w:r>
        <w:rPr>
          <w:rFonts w:ascii="Arial" w:hAnsi="Arial" w:cs="Arial"/>
          <w:lang w:val="en-US" w:eastAsia="ja-JP"/>
        </w:rPr>
        <w:t>[22]</w:t>
      </w:r>
      <w:r>
        <w:rPr>
          <w:rFonts w:ascii="Arial" w:hAnsi="Arial" w:cs="Arial"/>
          <w:lang w:val="en-US" w:eastAsia="ja-JP"/>
        </w:rPr>
        <w:tab/>
        <w:t>WHO/IARC CLASSIFICATION OF TUMOURS ON. http://whobluebooks.iarc.fr/)</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[23]</w:t>
      </w:r>
      <w:r>
        <w:rPr>
          <w:rFonts w:ascii="Arial" w:hAnsi="Arial" w:cs="Arial"/>
          <w:lang w:val="en-US" w:eastAsia="ja-JP"/>
        </w:rPr>
        <w:tab/>
        <w:t>BECKER K., SCHOTT C., BECKER I. Guided protein extraction from formalin-fixed tissues for quantitative multiplex analysis avoids detrimental effects of histological stains. Proteomics Clin. Appl. 2008 May, 2 (5) pp. 737-743</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[24]</w:t>
      </w:r>
      <w:r>
        <w:rPr>
          <w:rFonts w:ascii="Arial" w:hAnsi="Arial" w:cs="Arial"/>
          <w:lang w:val="en-US" w:eastAsia="ja-JP"/>
        </w:rPr>
        <w:tab/>
        <w:t>LONGUESPEE R., ALBERTS D., POTTIER C. A laser microdissection-based workflow for FFPE tissue microproteomics: important considerations for small sample processing. Methods. 2015 Dec; pii: S1046-2023(15)30177-8.</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[25]</w:t>
      </w:r>
      <w:r>
        <w:rPr>
          <w:rFonts w:ascii="Arial" w:hAnsi="Arial" w:cs="Arial"/>
          <w:lang w:val="en-US" w:eastAsia="ja-JP"/>
        </w:rPr>
        <w:tab/>
        <w:t>DRUMMOND E.S., NAYAK S., UEBERHEIDE B. Proteomic analysis of neurons microdissected from formalin-fixed, paraffin-embedded Alzheimer's disease brain tissue. Sci. Rep. 2015 Oct 21, 5 p. 15456</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[26]</w:t>
      </w:r>
      <w:r>
        <w:rPr>
          <w:rFonts w:ascii="Arial" w:hAnsi="Arial" w:cs="Arial"/>
          <w:lang w:val="en-US" w:eastAsia="ja-JP"/>
        </w:rPr>
        <w:tab/>
        <w:t>GALLAGHER S.R. 2010. Protein Blotting: Immunoblotting. Current Protocols Essential Laboratory Techniques. 4:8.3.1-8.3.36. John Wiley &amp; Sons, Inc.</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[27]</w:t>
      </w:r>
      <w:r>
        <w:rPr>
          <w:rFonts w:ascii="Arial" w:hAnsi="Arial" w:cs="Arial"/>
          <w:lang w:val="en-US" w:eastAsia="ja-JP"/>
        </w:rPr>
        <w:tab/>
        <w:t>OLSON BJMARKWELL SC. Assays for Determination of Protein Concentration. Curr. Protoc. Protein. Sci. 2007 May; Chapter 3:Unit 3.4</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[28]</w:t>
      </w:r>
      <w:r>
        <w:rPr>
          <w:rFonts w:ascii="Arial" w:hAnsi="Arial" w:cs="Arial"/>
          <w:lang w:val="en-US" w:eastAsia="ja-JP"/>
        </w:rPr>
        <w:tab/>
        <w:t>IUPAC. 2014) Compendium of Chemical Terminology, Gold Book Version 2.3.3. International Union of Pure and Applied Chemistry</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[29]</w:t>
      </w:r>
      <w:r>
        <w:rPr>
          <w:rFonts w:ascii="Arial" w:hAnsi="Arial" w:cs="Arial"/>
          <w:lang w:val="en-US" w:eastAsia="ja-JP"/>
        </w:rPr>
        <w:tab/>
        <w:t>HORWITZ W. 2009). Nomenclature for sampling in analytical chemistry (Recommendations 1990). Pure and Applied Chemistry, 62(6), pp. 1193-1208.</w:t>
      </w:r>
    </w:p>
    <w:p w:rsidR="000E6FD9" w:rsidRDefault="00233458">
      <w:pPr>
        <w:suppressAutoHyphens w:val="0"/>
        <w:spacing w:line="360" w:lineRule="auto"/>
        <w:ind w:left="705" w:hanging="705"/>
        <w:jc w:val="both"/>
        <w:rPr>
          <w:rFonts w:ascii="Arial" w:hAnsi="Arial" w:cs="Arial"/>
          <w:lang w:val="en-US" w:eastAsia="ja-JP"/>
        </w:rPr>
      </w:pPr>
      <w:r>
        <w:rPr>
          <w:rFonts w:ascii="Arial" w:hAnsi="Arial" w:cs="Arial"/>
          <w:lang w:val="en-US" w:eastAsia="ja-JP"/>
        </w:rPr>
        <w:t>[30]</w:t>
      </w:r>
      <w:r>
        <w:rPr>
          <w:rFonts w:ascii="Arial" w:hAnsi="Arial" w:cs="Arial"/>
          <w:lang w:val="en-US" w:eastAsia="ja-JP"/>
        </w:rPr>
        <w:tab/>
        <w:t>CALVERT J. 2009). Glossary of atmospheric chemistry terms (Recommendations 1990). Pure and Applied Chemistry, 62(11), pp. 2167-2219.</w:t>
      </w:r>
    </w:p>
    <w:tbl>
      <w:tblPr>
        <w:tblW w:w="9484" w:type="dxa"/>
        <w:tblInd w:w="14" w:type="dxa"/>
        <w:tblBorders>
          <w:top w:val="single" w:sz="8" w:space="0" w:color="00000A"/>
        </w:tblBorders>
        <w:tblLayout w:type="fixed"/>
        <w:tblCellMar>
          <w:left w:w="57" w:type="dxa"/>
          <w:right w:w="57" w:type="dxa"/>
        </w:tblCellMar>
        <w:tblLook w:val="04A0" w:firstRow="1" w:lastRow="0" w:firstColumn="1" w:lastColumn="0" w:noHBand="0" w:noVBand="1"/>
      </w:tblPr>
      <w:tblGrid>
        <w:gridCol w:w="4295"/>
        <w:gridCol w:w="2834"/>
        <w:gridCol w:w="2355"/>
      </w:tblGrid>
      <w:tr w:rsidR="000E6FD9">
        <w:tc>
          <w:tcPr>
            <w:tcW w:w="4295" w:type="dxa"/>
            <w:tcBorders>
              <w:top w:val="single" w:sz="8" w:space="0" w:color="00000A"/>
              <w:bottom w:val="nil"/>
            </w:tcBorders>
            <w:shd w:val="clear" w:color="auto" w:fill="auto"/>
          </w:tcPr>
          <w:p w:rsidR="000E6FD9" w:rsidRDefault="00233458">
            <w:pPr>
              <w:pageBreakBefore/>
              <w:jc w:val="both"/>
              <w:rPr>
                <w:rFonts w:ascii="Arial" w:eastAsia="Calibri" w:hAnsi="Arial" w:cs="Arial"/>
                <w:sz w:val="28"/>
                <w:szCs w:val="28"/>
                <w:lang w:eastAsia="en-US"/>
              </w:rPr>
            </w:pPr>
            <w:r>
              <w:rPr>
                <w:lang w:val="en-US"/>
              </w:rPr>
              <w:lastRenderedPageBreak/>
              <w:br w:type="page"/>
            </w:r>
            <w:r>
              <w:rPr>
                <w:rFonts w:ascii="Arial" w:eastAsia="Calibri" w:hAnsi="Arial" w:cs="Arial"/>
                <w:sz w:val="28"/>
                <w:szCs w:val="28"/>
                <w:lang w:eastAsia="en-US"/>
              </w:rPr>
              <w:t>УДК _______</w:t>
            </w:r>
          </w:p>
        </w:tc>
        <w:tc>
          <w:tcPr>
            <w:tcW w:w="2834" w:type="dxa"/>
            <w:tcBorders>
              <w:top w:val="single" w:sz="8" w:space="0" w:color="00000A"/>
              <w:bottom w:val="nil"/>
            </w:tcBorders>
            <w:shd w:val="clear" w:color="auto" w:fill="auto"/>
          </w:tcPr>
          <w:p w:rsidR="000E6FD9" w:rsidRDefault="00233458">
            <w:pPr>
              <w:jc w:val="both"/>
            </w:pPr>
            <w:r>
              <w:rPr>
                <w:rFonts w:ascii="Arial" w:eastAsia="Calibri" w:hAnsi="Arial" w:cs="Arial"/>
                <w:sz w:val="28"/>
                <w:szCs w:val="28"/>
                <w:lang w:eastAsia="en-US"/>
              </w:rPr>
              <w:t>ОКС 11.040.20</w:t>
            </w:r>
          </w:p>
        </w:tc>
        <w:tc>
          <w:tcPr>
            <w:tcW w:w="2355" w:type="dxa"/>
            <w:tcBorders>
              <w:top w:val="single" w:sz="8" w:space="0" w:color="00000A"/>
              <w:bottom w:val="nil"/>
            </w:tcBorders>
            <w:shd w:val="clear" w:color="auto" w:fill="auto"/>
          </w:tcPr>
          <w:p w:rsidR="000E6FD9" w:rsidRDefault="00233458">
            <w:pPr>
              <w:jc w:val="right"/>
              <w:rPr>
                <w:rFonts w:ascii="Arial" w:eastAsia="Calibri" w:hAnsi="Arial" w:cs="Arial"/>
                <w:sz w:val="28"/>
                <w:szCs w:val="28"/>
                <w:lang w:eastAsia="en-US"/>
              </w:rPr>
            </w:pPr>
            <w:r>
              <w:rPr>
                <w:rFonts w:ascii="Arial" w:eastAsia="Calibri" w:hAnsi="Arial" w:cs="Arial"/>
                <w:sz w:val="28"/>
                <w:szCs w:val="28"/>
                <w:lang w:eastAsia="en-US"/>
              </w:rPr>
              <w:t>IDT</w:t>
            </w:r>
          </w:p>
        </w:tc>
      </w:tr>
      <w:tr w:rsidR="000E6FD9">
        <w:trPr>
          <w:trHeight w:val="1092"/>
        </w:trPr>
        <w:tc>
          <w:tcPr>
            <w:tcW w:w="9484" w:type="dxa"/>
            <w:gridSpan w:val="3"/>
            <w:tcBorders>
              <w:top w:val="nil"/>
              <w:bottom w:val="nil"/>
            </w:tcBorders>
            <w:shd w:val="clear" w:color="auto" w:fill="auto"/>
          </w:tcPr>
          <w:p w:rsidR="000E6FD9" w:rsidRDefault="000E6FD9">
            <w:pPr>
              <w:rPr>
                <w:rFonts w:ascii="Arial" w:eastAsia="Calibri" w:hAnsi="Arial" w:cs="Arial"/>
                <w:lang w:eastAsia="en-US"/>
              </w:rPr>
            </w:pPr>
          </w:p>
          <w:p w:rsidR="000E6FD9" w:rsidRDefault="00233458">
            <w:pPr>
              <w:spacing w:line="360" w:lineRule="auto"/>
              <w:jc w:val="both"/>
              <w:rPr>
                <w:rFonts w:ascii="Arial" w:eastAsia="Calibri" w:hAnsi="Arial" w:cs="Arial"/>
                <w:lang w:eastAsia="en-US"/>
              </w:rPr>
            </w:pPr>
            <w:r>
              <w:rPr>
                <w:rFonts w:ascii="Arial" w:eastAsia="Calibri" w:hAnsi="Arial" w:cs="Arial"/>
                <w:lang w:eastAsia="en-US"/>
              </w:rPr>
              <w:t xml:space="preserve">Ключевые слова: </w:t>
            </w:r>
            <w:r>
              <w:rPr>
                <w:rFonts w:ascii="Arial" w:eastAsia="Calibri" w:hAnsi="Arial" w:cs="Arial"/>
                <w:lang w:val="en-US" w:eastAsia="en-US"/>
              </w:rPr>
              <w:t>in</w:t>
            </w:r>
            <w:r>
              <w:rPr>
                <w:rFonts w:ascii="Arial" w:eastAsia="Calibri" w:hAnsi="Arial" w:cs="Arial"/>
                <w:lang w:eastAsia="en-US"/>
              </w:rPr>
              <w:t xml:space="preserve"> </w:t>
            </w:r>
            <w:r>
              <w:rPr>
                <w:rFonts w:ascii="Arial" w:eastAsia="Calibri" w:hAnsi="Arial" w:cs="Arial"/>
                <w:lang w:val="en-US" w:eastAsia="en-US"/>
              </w:rPr>
              <w:t>vitro</w:t>
            </w:r>
            <w:r>
              <w:rPr>
                <w:rFonts w:ascii="Arial" w:eastAsia="Calibri" w:hAnsi="Arial" w:cs="Arial"/>
                <w:lang w:eastAsia="en-US"/>
              </w:rPr>
              <w:t xml:space="preserve">, выделенные белки, проба </w:t>
            </w:r>
          </w:p>
          <w:p w:rsidR="000E6FD9" w:rsidRDefault="000E6FD9">
            <w:pPr>
              <w:spacing w:line="360" w:lineRule="auto"/>
              <w:jc w:val="both"/>
              <w:rPr>
                <w:rFonts w:ascii="Arial" w:eastAsia="Calibri" w:hAnsi="Arial" w:cs="Arial"/>
                <w:lang w:eastAsia="en-US"/>
              </w:rPr>
            </w:pPr>
          </w:p>
        </w:tc>
      </w:tr>
    </w:tbl>
    <w:p w:rsidR="000E6FD9" w:rsidRDefault="000E6FD9">
      <w:pPr>
        <w:widowControl w:val="0"/>
        <w:tabs>
          <w:tab w:val="left" w:pos="4111"/>
          <w:tab w:val="left" w:pos="7938"/>
        </w:tabs>
        <w:rPr>
          <w:rFonts w:ascii="Arial" w:hAnsi="Arial" w:cs="Arial"/>
        </w:rPr>
      </w:pPr>
    </w:p>
    <w:p w:rsidR="000E6FD9" w:rsidRDefault="00233458">
      <w:pPr>
        <w:widowControl w:val="0"/>
        <w:tabs>
          <w:tab w:val="left" w:pos="4111"/>
          <w:tab w:val="left" w:pos="7938"/>
        </w:tabs>
        <w:rPr>
          <w:rFonts w:ascii="Arial" w:hAnsi="Arial" w:cs="Arial"/>
          <w:lang w:val="en-US"/>
        </w:rPr>
      </w:pPr>
      <w:r>
        <w:rPr>
          <w:rFonts w:ascii="Arial" w:hAnsi="Arial" w:cs="Arial"/>
          <w:lang w:val="en-US"/>
        </w:rPr>
        <w:t>Д</w:t>
      </w:r>
      <w:r>
        <w:rPr>
          <w:rFonts w:ascii="Arial" w:hAnsi="Arial" w:cs="Arial"/>
        </w:rPr>
        <w:t>иректор</w:t>
      </w:r>
      <w:r>
        <w:rPr>
          <w:rFonts w:ascii="Arial" w:hAnsi="Arial" w:cs="Arial"/>
        </w:rPr>
        <w:tab/>
        <w:t>__________</w:t>
      </w:r>
      <w:r>
        <w:rPr>
          <w:rFonts w:ascii="Arial" w:hAnsi="Arial" w:cs="Arial"/>
          <w:lang w:val="en-US"/>
        </w:rPr>
        <w:t>___________</w:t>
      </w:r>
    </w:p>
    <w:p w:rsidR="000E6FD9" w:rsidRDefault="000E6FD9">
      <w:pPr>
        <w:widowControl w:val="0"/>
        <w:tabs>
          <w:tab w:val="left" w:pos="4111"/>
          <w:tab w:val="left" w:pos="7938"/>
        </w:tabs>
        <w:rPr>
          <w:rFonts w:ascii="Arial" w:hAnsi="Arial" w:cs="Arial"/>
        </w:rPr>
      </w:pPr>
    </w:p>
    <w:p w:rsidR="000E6FD9" w:rsidRDefault="00233458">
      <w:pPr>
        <w:widowControl w:val="0"/>
        <w:tabs>
          <w:tab w:val="left" w:pos="4111"/>
          <w:tab w:val="left" w:pos="7938"/>
        </w:tabs>
        <w:rPr>
          <w:rFonts w:ascii="Arial" w:hAnsi="Arial" w:cs="Arial"/>
          <w:lang w:val="en-US"/>
        </w:rPr>
      </w:pPr>
      <w:r>
        <w:rPr>
          <w:rFonts w:ascii="Arial" w:hAnsi="Arial" w:cs="Arial"/>
        </w:rPr>
        <w:t>Руководитель разработки</w:t>
      </w:r>
      <w:r>
        <w:rPr>
          <w:rFonts w:ascii="Arial" w:hAnsi="Arial" w:cs="Arial"/>
        </w:rPr>
        <w:tab/>
        <w:t>_____________</w:t>
      </w:r>
      <w:r>
        <w:rPr>
          <w:rFonts w:ascii="Arial" w:hAnsi="Arial" w:cs="Arial"/>
          <w:lang w:val="en-US"/>
        </w:rPr>
        <w:t>____________</w:t>
      </w:r>
    </w:p>
    <w:p w:rsidR="000E6FD9" w:rsidRDefault="000E6FD9">
      <w:pPr>
        <w:widowControl w:val="0"/>
        <w:rPr>
          <w:rFonts w:ascii="Arial" w:hAnsi="Arial" w:cs="Arial"/>
        </w:rPr>
      </w:pPr>
    </w:p>
    <w:p w:rsidR="000E6FD9" w:rsidRDefault="000E6FD9">
      <w:pPr>
        <w:widowControl w:val="0"/>
        <w:shd w:val="clear" w:color="auto" w:fill="FFFFFF"/>
        <w:tabs>
          <w:tab w:val="left" w:pos="720"/>
        </w:tabs>
        <w:jc w:val="center"/>
      </w:pPr>
    </w:p>
    <w:sectPr w:rsidR="000E6FD9">
      <w:headerReference w:type="first" r:id="rId21"/>
      <w:footerReference w:type="first" r:id="rId22"/>
      <w:pgSz w:w="11906" w:h="16838"/>
      <w:pgMar w:top="680" w:right="851" w:bottom="249" w:left="1701" w:header="0" w:footer="540" w:gutter="0"/>
      <w:pgNumType w:start="1"/>
      <w:cols w:space="720"/>
      <w:formProt w:val="0"/>
      <w:titlePg/>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458" w:rsidRDefault="00233458">
      <w:pPr>
        <w:spacing w:after="0" w:line="240" w:lineRule="auto"/>
      </w:pPr>
      <w:r>
        <w:separator/>
      </w:r>
    </w:p>
  </w:endnote>
  <w:endnote w:type="continuationSeparator" w:id="0">
    <w:p w:rsidR="00233458" w:rsidRDefault="00233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CC"/>
    <w:family w:val="swiss"/>
    <w:pitch w:val="default"/>
  </w:font>
  <w:font w:name="Microsoft YaHei">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7815848"/>
    </w:sdtPr>
    <w:sdtEndPr/>
    <w:sdtContent>
      <w:p w:rsidR="00233458" w:rsidRDefault="00233458">
        <w:pPr>
          <w:pStyle w:val="ab"/>
        </w:pPr>
        <w:r>
          <w:fldChar w:fldCharType="begin"/>
        </w:r>
        <w:r>
          <w:instrText>PAGE   \* MERGEFORMAT</w:instrText>
        </w:r>
        <w:r>
          <w:fldChar w:fldCharType="separate"/>
        </w:r>
        <w:r w:rsidR="00E10815">
          <w:rPr>
            <w:noProof/>
          </w:rPr>
          <w:t>2</w:t>
        </w:r>
        <w:r>
          <w:fldChar w:fldCharType="end"/>
        </w:r>
      </w:p>
    </w:sdtContent>
  </w:sdt>
  <w:p w:rsidR="00233458" w:rsidRDefault="00233458">
    <w:pPr>
      <w:pStyle w:val="ab"/>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4007866"/>
    </w:sdtPr>
    <w:sdtEndPr/>
    <w:sdtContent>
      <w:p w:rsidR="00233458" w:rsidRDefault="00233458">
        <w:pPr>
          <w:pStyle w:val="ab"/>
          <w:jc w:val="right"/>
        </w:pPr>
        <w:r>
          <w:fldChar w:fldCharType="begin"/>
        </w:r>
        <w:r>
          <w:instrText>PAGE   \* MERGEFORMAT</w:instrText>
        </w:r>
        <w:r>
          <w:fldChar w:fldCharType="separate"/>
        </w:r>
        <w:r w:rsidR="00E10815">
          <w:rPr>
            <w:noProof/>
          </w:rPr>
          <w:t>3</w:t>
        </w:r>
        <w:r>
          <w:fldChar w:fldCharType="end"/>
        </w:r>
      </w:p>
    </w:sdtContent>
  </w:sdt>
  <w:p w:rsidR="00233458" w:rsidRDefault="00233458">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638985"/>
    </w:sdtPr>
    <w:sdtEndPr/>
    <w:sdtContent>
      <w:p w:rsidR="00233458" w:rsidRDefault="00233458">
        <w:pPr>
          <w:pStyle w:val="ab"/>
          <w:jc w:val="right"/>
        </w:pPr>
        <w:r>
          <w:fldChar w:fldCharType="begin"/>
        </w:r>
        <w:r>
          <w:instrText>PAGE   \* MERGEFORMAT</w:instrText>
        </w:r>
        <w:r>
          <w:fldChar w:fldCharType="separate"/>
        </w:r>
        <w:r w:rsidR="00E10815">
          <w:rPr>
            <w:noProof/>
          </w:rPr>
          <w:t>1</w:t>
        </w:r>
        <w:r>
          <w:fldChar w:fldCharType="end"/>
        </w:r>
      </w:p>
    </w:sdtContent>
  </w:sdt>
  <w:p w:rsidR="00233458" w:rsidRDefault="00233458">
    <w:pPr>
      <w:pStyle w:val="ab"/>
      <w:ind w:firstLine="70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458" w:rsidRDefault="00233458">
      <w:pPr>
        <w:spacing w:after="0" w:line="240" w:lineRule="auto"/>
      </w:pPr>
      <w:r>
        <w:separator/>
      </w:r>
    </w:p>
  </w:footnote>
  <w:footnote w:type="continuationSeparator" w:id="0">
    <w:p w:rsidR="00233458" w:rsidRDefault="002334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458" w:rsidRDefault="00233458">
    <w:pPr>
      <w:tabs>
        <w:tab w:val="center" w:pos="4677"/>
        <w:tab w:val="right" w:pos="9355"/>
      </w:tabs>
      <w:suppressAutoHyphens w:val="0"/>
      <w:rPr>
        <w:rFonts w:ascii="Arial" w:eastAsia="Calibri" w:hAnsi="Arial" w:cs="Arial"/>
        <w:b/>
        <w:lang w:eastAsia="en-US"/>
      </w:rPr>
    </w:pPr>
  </w:p>
  <w:p w:rsidR="00233458" w:rsidRDefault="00233458">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ГОСТ Р ИСО 20166-2–20ХХ</w:t>
    </w:r>
  </w:p>
  <w:p w:rsidR="00233458" w:rsidRDefault="00233458">
    <w:pPr>
      <w:tabs>
        <w:tab w:val="center" w:pos="4677"/>
        <w:tab w:val="right" w:pos="9355"/>
      </w:tabs>
      <w:suppressAutoHyphens w:val="0"/>
      <w:rPr>
        <w:rFonts w:ascii="Arial" w:eastAsia="Calibri" w:hAnsi="Arial" w:cs="Arial"/>
        <w:i/>
        <w:szCs w:val="22"/>
        <w:lang w:eastAsia="en-US"/>
      </w:rPr>
    </w:pPr>
    <w:r>
      <w:rPr>
        <w:rFonts w:ascii="Arial" w:eastAsia="Calibri" w:hAnsi="Arial" w:cs="Arial"/>
        <w:i/>
        <w:szCs w:val="22"/>
        <w:lang w:eastAsia="en-US"/>
      </w:rPr>
      <w:t>(проект, первая редакция)</w:t>
    </w:r>
  </w:p>
  <w:p w:rsidR="00233458" w:rsidRDefault="00233458">
    <w:pPr>
      <w:tabs>
        <w:tab w:val="center" w:pos="4677"/>
        <w:tab w:val="right" w:pos="9355"/>
      </w:tabs>
      <w:suppressAutoHyphens w:val="0"/>
      <w:rPr>
        <w:rFonts w:ascii="Arial" w:eastAsia="Calibri" w:hAnsi="Arial" w:cs="Arial"/>
        <w:i/>
        <w:szCs w:val="22"/>
        <w:lang w:eastAsia="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458" w:rsidRDefault="00233458">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r>
  </w:p>
  <w:p w:rsidR="00233458" w:rsidRDefault="00233458">
    <w:pPr>
      <w:tabs>
        <w:tab w:val="center" w:pos="4677"/>
        <w:tab w:val="right" w:pos="9355"/>
      </w:tabs>
      <w:suppressAutoHyphens w:val="0"/>
      <w:jc w:val="right"/>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t xml:space="preserve"> ГОСТ Р ИСО 20166-2–20ХХ</w:t>
    </w:r>
  </w:p>
  <w:p w:rsidR="00233458" w:rsidRDefault="00233458">
    <w:pPr>
      <w:tabs>
        <w:tab w:val="center" w:pos="4677"/>
        <w:tab w:val="right" w:pos="9355"/>
      </w:tabs>
      <w:suppressAutoHyphens w:val="0"/>
      <w:jc w:val="right"/>
      <w:rPr>
        <w:rFonts w:ascii="Arial" w:eastAsia="Calibri" w:hAnsi="Arial" w:cs="Arial"/>
        <w:i/>
        <w:szCs w:val="22"/>
        <w:lang w:eastAsia="en-US"/>
      </w:rPr>
    </w:pPr>
    <w:r>
      <w:rPr>
        <w:rFonts w:ascii="Arial" w:eastAsia="Calibri" w:hAnsi="Arial" w:cs="Arial"/>
        <w:i/>
        <w:szCs w:val="22"/>
        <w:lang w:eastAsia="en-US"/>
      </w:rPr>
      <w:tab/>
    </w:r>
    <w:r>
      <w:rPr>
        <w:rFonts w:ascii="Arial" w:eastAsia="Calibri" w:hAnsi="Arial" w:cs="Arial"/>
        <w:i/>
        <w:szCs w:val="22"/>
        <w:lang w:eastAsia="en-US"/>
      </w:rPr>
      <w:tab/>
      <w:t>(проект, первая редакция)</w:t>
    </w:r>
  </w:p>
  <w:p w:rsidR="00233458" w:rsidRDefault="00233458">
    <w:pPr>
      <w:tabs>
        <w:tab w:val="center" w:pos="4677"/>
        <w:tab w:val="right" w:pos="9355"/>
      </w:tabs>
      <w:suppressAutoHyphens w:val="0"/>
      <w:rPr>
        <w:rFonts w:ascii="Arial" w:eastAsia="Calibri" w:hAnsi="Arial" w:cs="Arial"/>
        <w:i/>
        <w:szCs w:val="22"/>
        <w:lang w:eastAsia="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458" w:rsidRDefault="00233458">
    <w:pPr>
      <w:pStyle w:val="ad"/>
    </w:pPr>
  </w:p>
  <w:p w:rsidR="00233458" w:rsidRDefault="00233458">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t>ГОСТ Р ИСО 20166-2–20ХХ</w:t>
    </w:r>
  </w:p>
  <w:p w:rsidR="00233458" w:rsidRDefault="00233458">
    <w:pPr>
      <w:tabs>
        <w:tab w:val="center" w:pos="4677"/>
        <w:tab w:val="right" w:pos="9355"/>
      </w:tabs>
      <w:suppressAutoHyphens w:val="0"/>
      <w:rPr>
        <w:rFonts w:ascii="Arial" w:eastAsia="Calibri" w:hAnsi="Arial" w:cs="Arial"/>
        <w:i/>
        <w:szCs w:val="22"/>
        <w:lang w:eastAsia="en-US"/>
      </w:rPr>
    </w:pPr>
    <w:r>
      <w:rPr>
        <w:rFonts w:ascii="Arial" w:eastAsia="Calibri" w:hAnsi="Arial" w:cs="Arial"/>
        <w:i/>
        <w:szCs w:val="22"/>
        <w:lang w:eastAsia="en-US"/>
      </w:rPr>
      <w:tab/>
    </w:r>
    <w:r>
      <w:rPr>
        <w:rFonts w:ascii="Arial" w:eastAsia="Calibri" w:hAnsi="Arial" w:cs="Arial"/>
        <w:i/>
        <w:szCs w:val="22"/>
        <w:lang w:eastAsia="en-US"/>
      </w:rPr>
      <w:tab/>
      <w:t>(проект,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C4CD1"/>
    <w:multiLevelType w:val="multilevel"/>
    <w:tmpl w:val="15DC4CD1"/>
    <w:lvl w:ilvl="0">
      <w:start w:val="1"/>
      <w:numFmt w:val="lowerLetter"/>
      <w:lvlText w:val="%1)"/>
      <w:lvlJc w:val="left"/>
      <w:pPr>
        <w:ind w:left="719" w:hanging="403"/>
      </w:pPr>
      <w:rPr>
        <w:rFonts w:ascii="Arial" w:eastAsia="Cambria" w:hAnsi="Arial" w:cs="Arial" w:hint="default"/>
        <w:color w:val="231F20"/>
        <w:spacing w:val="-22"/>
        <w:sz w:val="24"/>
        <w:szCs w:val="24"/>
        <w:lang w:val="en-US" w:eastAsia="en-US" w:bidi="en-US"/>
      </w:rPr>
    </w:lvl>
    <w:lvl w:ilvl="1">
      <w:numFmt w:val="bullet"/>
      <w:lvlText w:val="•"/>
      <w:lvlJc w:val="left"/>
      <w:pPr>
        <w:ind w:left="1796" w:hanging="403"/>
      </w:pPr>
      <w:rPr>
        <w:rFonts w:hint="default"/>
        <w:lang w:val="en-US" w:eastAsia="en-US" w:bidi="en-US"/>
      </w:rPr>
    </w:lvl>
    <w:lvl w:ilvl="2">
      <w:numFmt w:val="bullet"/>
      <w:lvlText w:val="•"/>
      <w:lvlJc w:val="left"/>
      <w:pPr>
        <w:ind w:left="2873" w:hanging="403"/>
      </w:pPr>
      <w:rPr>
        <w:rFonts w:hint="default"/>
        <w:lang w:val="en-US" w:eastAsia="en-US" w:bidi="en-US"/>
      </w:rPr>
    </w:lvl>
    <w:lvl w:ilvl="3">
      <w:numFmt w:val="bullet"/>
      <w:lvlText w:val="•"/>
      <w:lvlJc w:val="left"/>
      <w:pPr>
        <w:ind w:left="3949" w:hanging="403"/>
      </w:pPr>
      <w:rPr>
        <w:rFonts w:hint="default"/>
        <w:lang w:val="en-US" w:eastAsia="en-US" w:bidi="en-US"/>
      </w:rPr>
    </w:lvl>
    <w:lvl w:ilvl="4">
      <w:numFmt w:val="bullet"/>
      <w:lvlText w:val="•"/>
      <w:lvlJc w:val="left"/>
      <w:pPr>
        <w:ind w:left="5026" w:hanging="403"/>
      </w:pPr>
      <w:rPr>
        <w:rFonts w:hint="default"/>
        <w:lang w:val="en-US" w:eastAsia="en-US" w:bidi="en-US"/>
      </w:rPr>
    </w:lvl>
    <w:lvl w:ilvl="5">
      <w:numFmt w:val="bullet"/>
      <w:lvlText w:val="•"/>
      <w:lvlJc w:val="left"/>
      <w:pPr>
        <w:ind w:left="6102" w:hanging="403"/>
      </w:pPr>
      <w:rPr>
        <w:rFonts w:hint="default"/>
        <w:lang w:val="en-US" w:eastAsia="en-US" w:bidi="en-US"/>
      </w:rPr>
    </w:lvl>
    <w:lvl w:ilvl="6">
      <w:numFmt w:val="bullet"/>
      <w:lvlText w:val="•"/>
      <w:lvlJc w:val="left"/>
      <w:pPr>
        <w:ind w:left="7179" w:hanging="403"/>
      </w:pPr>
      <w:rPr>
        <w:rFonts w:hint="default"/>
        <w:lang w:val="en-US" w:eastAsia="en-US" w:bidi="en-US"/>
      </w:rPr>
    </w:lvl>
    <w:lvl w:ilvl="7">
      <w:numFmt w:val="bullet"/>
      <w:lvlText w:val="•"/>
      <w:lvlJc w:val="left"/>
      <w:pPr>
        <w:ind w:left="8255" w:hanging="403"/>
      </w:pPr>
      <w:rPr>
        <w:rFonts w:hint="default"/>
        <w:lang w:val="en-US" w:eastAsia="en-US" w:bidi="en-US"/>
      </w:rPr>
    </w:lvl>
    <w:lvl w:ilvl="8">
      <w:numFmt w:val="bullet"/>
      <w:lvlText w:val="•"/>
      <w:lvlJc w:val="left"/>
      <w:pPr>
        <w:ind w:left="9332" w:hanging="403"/>
      </w:pPr>
      <w:rPr>
        <w:rFonts w:hint="default"/>
        <w:lang w:val="en-US" w:eastAsia="en-US" w:bidi="en-US"/>
      </w:rPr>
    </w:lvl>
  </w:abstractNum>
  <w:abstractNum w:abstractNumId="1">
    <w:nsid w:val="30DD39C1"/>
    <w:multiLevelType w:val="multilevel"/>
    <w:tmpl w:val="30DD39C1"/>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nsid w:val="40622C31"/>
    <w:multiLevelType w:val="multilevel"/>
    <w:tmpl w:val="40622C31"/>
    <w:lvl w:ilvl="0">
      <w:start w:val="1"/>
      <w:numFmt w:val="decimal"/>
      <w:lvlText w:val="%1"/>
      <w:lvlJc w:val="left"/>
      <w:pPr>
        <w:ind w:left="0" w:firstLine="720"/>
      </w:pPr>
    </w:lvl>
    <w:lvl w:ilvl="1">
      <w:start w:val="6"/>
      <w:numFmt w:val="decimal"/>
      <w:lvlText w:val="%1.%2"/>
      <w:lvlJc w:val="left"/>
      <w:pPr>
        <w:ind w:left="1425" w:hanging="705"/>
      </w:pPr>
      <w:rPr>
        <w:b/>
      </w:rPr>
    </w:lvl>
    <w:lvl w:ilvl="2">
      <w:start w:val="2"/>
      <w:numFmt w:val="decimal"/>
      <w:lvlText w:val="%1.%2.%3"/>
      <w:lvlJc w:val="left"/>
      <w:pPr>
        <w:ind w:left="1440" w:hanging="720"/>
      </w:pPr>
      <w:rPr>
        <w:b/>
      </w:rPr>
    </w:lvl>
    <w:lvl w:ilvl="3">
      <w:start w:val="1"/>
      <w:numFmt w:val="decimal"/>
      <w:lvlText w:val="%1.%2.%3.%4"/>
      <w:lvlJc w:val="left"/>
      <w:pPr>
        <w:ind w:left="1800" w:hanging="1080"/>
      </w:pPr>
      <w:rPr>
        <w:b/>
      </w:rPr>
    </w:lvl>
    <w:lvl w:ilvl="4">
      <w:start w:val="1"/>
      <w:numFmt w:val="decimal"/>
      <w:lvlText w:val="%1.%2.%3.%4.%5"/>
      <w:lvlJc w:val="left"/>
      <w:pPr>
        <w:ind w:left="1800" w:hanging="1080"/>
      </w:pPr>
      <w:rPr>
        <w:b/>
      </w:rPr>
    </w:lvl>
    <w:lvl w:ilvl="5">
      <w:start w:val="1"/>
      <w:numFmt w:val="decimal"/>
      <w:lvlText w:val="%1.%2.%3.%4.%5.%6"/>
      <w:lvlJc w:val="left"/>
      <w:pPr>
        <w:ind w:left="2160" w:hanging="1440"/>
      </w:pPr>
      <w:rPr>
        <w:b/>
      </w:rPr>
    </w:lvl>
    <w:lvl w:ilvl="6">
      <w:start w:val="1"/>
      <w:numFmt w:val="decimal"/>
      <w:lvlText w:val="%1.%2.%3.%4.%5.%6.%7"/>
      <w:lvlJc w:val="left"/>
      <w:pPr>
        <w:ind w:left="2160" w:hanging="1440"/>
      </w:pPr>
      <w:rPr>
        <w:b/>
      </w:rPr>
    </w:lvl>
    <w:lvl w:ilvl="7">
      <w:start w:val="1"/>
      <w:numFmt w:val="decimal"/>
      <w:lvlText w:val="%1.%2.%3.%4.%5.%6.%7.%8"/>
      <w:lvlJc w:val="left"/>
      <w:pPr>
        <w:ind w:left="2520" w:hanging="1800"/>
      </w:pPr>
      <w:rPr>
        <w:b/>
      </w:rPr>
    </w:lvl>
    <w:lvl w:ilvl="8">
      <w:start w:val="1"/>
      <w:numFmt w:val="decimal"/>
      <w:lvlText w:val="%1.%2.%3.%4.%5.%6.%7.%8.%9"/>
      <w:lvlJc w:val="left"/>
      <w:pPr>
        <w:ind w:left="2520" w:hanging="1800"/>
      </w:pPr>
      <w:rPr>
        <w:b/>
      </w:rPr>
    </w:lvl>
  </w:abstractNum>
  <w:abstractNum w:abstractNumId="3">
    <w:nsid w:val="43803A2E"/>
    <w:multiLevelType w:val="multilevel"/>
    <w:tmpl w:val="43803A2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41937C2"/>
    <w:multiLevelType w:val="multilevel"/>
    <w:tmpl w:val="441937C2"/>
    <w:lvl w:ilvl="0">
      <w:start w:val="1"/>
      <w:numFmt w:val="lowerLetter"/>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70017C3"/>
    <w:multiLevelType w:val="multilevel"/>
    <w:tmpl w:val="470017C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8561449"/>
    <w:multiLevelType w:val="multilevel"/>
    <w:tmpl w:val="58561449"/>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5A4A2031"/>
    <w:multiLevelType w:val="multilevel"/>
    <w:tmpl w:val="85FA4B92"/>
    <w:lvl w:ilvl="0">
      <w:start w:val="1"/>
      <w:numFmt w:val="decimal"/>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8">
    <w:nsid w:val="5EB5414B"/>
    <w:multiLevelType w:val="multilevel"/>
    <w:tmpl w:val="5EB5414B"/>
    <w:lvl w:ilvl="0">
      <w:numFmt w:val="bullet"/>
      <w:lvlText w:val="—"/>
      <w:lvlJc w:val="left"/>
      <w:pPr>
        <w:ind w:left="1199" w:hanging="403"/>
      </w:pPr>
      <w:rPr>
        <w:rFonts w:ascii="Cambria" w:eastAsia="Cambria" w:hAnsi="Cambria" w:cs="Cambria" w:hint="default"/>
        <w:color w:val="231F20"/>
        <w:spacing w:val="-12"/>
        <w:w w:val="100"/>
        <w:sz w:val="22"/>
        <w:szCs w:val="22"/>
        <w:lang w:val="en-US" w:eastAsia="en-US" w:bidi="en-US"/>
      </w:rPr>
    </w:lvl>
    <w:lvl w:ilvl="1">
      <w:numFmt w:val="bullet"/>
      <w:lvlText w:val="—"/>
      <w:lvlJc w:val="left"/>
      <w:pPr>
        <w:ind w:left="1399" w:hanging="403"/>
      </w:pPr>
      <w:rPr>
        <w:rFonts w:ascii="Cambria" w:eastAsia="Cambria" w:hAnsi="Cambria" w:cs="Cambria" w:hint="default"/>
        <w:color w:val="231F20"/>
        <w:spacing w:val="-27"/>
        <w:w w:val="100"/>
        <w:sz w:val="22"/>
        <w:szCs w:val="22"/>
        <w:lang w:val="en-US" w:eastAsia="en-US" w:bidi="en-US"/>
      </w:rPr>
    </w:lvl>
    <w:lvl w:ilvl="2">
      <w:numFmt w:val="bullet"/>
      <w:lvlText w:val="•"/>
      <w:lvlJc w:val="left"/>
      <w:pPr>
        <w:ind w:left="2498" w:hanging="403"/>
      </w:pPr>
      <w:rPr>
        <w:rFonts w:hint="default"/>
        <w:lang w:val="en-US" w:eastAsia="en-US" w:bidi="en-US"/>
      </w:rPr>
    </w:lvl>
    <w:lvl w:ilvl="3">
      <w:numFmt w:val="bullet"/>
      <w:lvlText w:val="•"/>
      <w:lvlJc w:val="left"/>
      <w:pPr>
        <w:ind w:left="3596" w:hanging="403"/>
      </w:pPr>
      <w:rPr>
        <w:rFonts w:hint="default"/>
        <w:lang w:val="en-US" w:eastAsia="en-US" w:bidi="en-US"/>
      </w:rPr>
    </w:lvl>
    <w:lvl w:ilvl="4">
      <w:numFmt w:val="bullet"/>
      <w:lvlText w:val="•"/>
      <w:lvlJc w:val="left"/>
      <w:pPr>
        <w:ind w:left="4695" w:hanging="403"/>
      </w:pPr>
      <w:rPr>
        <w:rFonts w:hint="default"/>
        <w:lang w:val="en-US" w:eastAsia="en-US" w:bidi="en-US"/>
      </w:rPr>
    </w:lvl>
    <w:lvl w:ilvl="5">
      <w:numFmt w:val="bullet"/>
      <w:lvlText w:val="•"/>
      <w:lvlJc w:val="left"/>
      <w:pPr>
        <w:ind w:left="5793" w:hanging="403"/>
      </w:pPr>
      <w:rPr>
        <w:rFonts w:hint="default"/>
        <w:lang w:val="en-US" w:eastAsia="en-US" w:bidi="en-US"/>
      </w:rPr>
    </w:lvl>
    <w:lvl w:ilvl="6">
      <w:numFmt w:val="bullet"/>
      <w:lvlText w:val="•"/>
      <w:lvlJc w:val="left"/>
      <w:pPr>
        <w:ind w:left="6891" w:hanging="403"/>
      </w:pPr>
      <w:rPr>
        <w:rFonts w:hint="default"/>
        <w:lang w:val="en-US" w:eastAsia="en-US" w:bidi="en-US"/>
      </w:rPr>
    </w:lvl>
    <w:lvl w:ilvl="7">
      <w:numFmt w:val="bullet"/>
      <w:lvlText w:val="•"/>
      <w:lvlJc w:val="left"/>
      <w:pPr>
        <w:ind w:left="7990" w:hanging="403"/>
      </w:pPr>
      <w:rPr>
        <w:rFonts w:hint="default"/>
        <w:lang w:val="en-US" w:eastAsia="en-US" w:bidi="en-US"/>
      </w:rPr>
    </w:lvl>
    <w:lvl w:ilvl="8">
      <w:numFmt w:val="bullet"/>
      <w:lvlText w:val="•"/>
      <w:lvlJc w:val="left"/>
      <w:pPr>
        <w:ind w:left="9088" w:hanging="403"/>
      </w:pPr>
      <w:rPr>
        <w:rFonts w:hint="default"/>
        <w:lang w:val="en-US" w:eastAsia="en-US" w:bidi="en-US"/>
      </w:rPr>
    </w:lvl>
  </w:abstractNum>
  <w:abstractNum w:abstractNumId="9">
    <w:nsid w:val="5EB541A3"/>
    <w:multiLevelType w:val="multilevel"/>
    <w:tmpl w:val="5EB541A3"/>
    <w:lvl w:ilvl="0">
      <w:start w:val="1"/>
      <w:numFmt w:val="lowerLetter"/>
      <w:lvlText w:val="%1)"/>
      <w:lvlJc w:val="left"/>
      <w:pPr>
        <w:ind w:left="1399" w:hanging="403"/>
        <w:jc w:val="right"/>
      </w:pPr>
      <w:rPr>
        <w:rFonts w:ascii="Arial" w:eastAsia="Cambria" w:hAnsi="Arial" w:cs="Arial" w:hint="default"/>
        <w:color w:val="231F20"/>
        <w:spacing w:val="-21"/>
        <w:w w:val="100"/>
        <w:sz w:val="24"/>
        <w:szCs w:val="24"/>
        <w:lang w:val="en-US" w:eastAsia="en-US" w:bidi="en-US"/>
      </w:rPr>
    </w:lvl>
    <w:lvl w:ilvl="1">
      <w:numFmt w:val="bullet"/>
      <w:lvlText w:val="•"/>
      <w:lvlJc w:val="left"/>
      <w:pPr>
        <w:ind w:left="2408" w:hanging="403"/>
      </w:pPr>
      <w:rPr>
        <w:rFonts w:hint="default"/>
        <w:lang w:val="en-US" w:eastAsia="en-US" w:bidi="en-US"/>
      </w:rPr>
    </w:lvl>
    <w:lvl w:ilvl="2">
      <w:numFmt w:val="bullet"/>
      <w:lvlText w:val="•"/>
      <w:lvlJc w:val="left"/>
      <w:pPr>
        <w:ind w:left="3417" w:hanging="403"/>
      </w:pPr>
      <w:rPr>
        <w:rFonts w:hint="default"/>
        <w:lang w:val="en-US" w:eastAsia="en-US" w:bidi="en-US"/>
      </w:rPr>
    </w:lvl>
    <w:lvl w:ilvl="3">
      <w:numFmt w:val="bullet"/>
      <w:lvlText w:val="•"/>
      <w:lvlJc w:val="left"/>
      <w:pPr>
        <w:ind w:left="4425" w:hanging="403"/>
      </w:pPr>
      <w:rPr>
        <w:rFonts w:hint="default"/>
        <w:lang w:val="en-US" w:eastAsia="en-US" w:bidi="en-US"/>
      </w:rPr>
    </w:lvl>
    <w:lvl w:ilvl="4">
      <w:numFmt w:val="bullet"/>
      <w:lvlText w:val="•"/>
      <w:lvlJc w:val="left"/>
      <w:pPr>
        <w:ind w:left="5434" w:hanging="403"/>
      </w:pPr>
      <w:rPr>
        <w:rFonts w:hint="default"/>
        <w:lang w:val="en-US" w:eastAsia="en-US" w:bidi="en-US"/>
      </w:rPr>
    </w:lvl>
    <w:lvl w:ilvl="5">
      <w:numFmt w:val="bullet"/>
      <w:lvlText w:val="•"/>
      <w:lvlJc w:val="left"/>
      <w:pPr>
        <w:ind w:left="6442" w:hanging="403"/>
      </w:pPr>
      <w:rPr>
        <w:rFonts w:hint="default"/>
        <w:lang w:val="en-US" w:eastAsia="en-US" w:bidi="en-US"/>
      </w:rPr>
    </w:lvl>
    <w:lvl w:ilvl="6">
      <w:numFmt w:val="bullet"/>
      <w:lvlText w:val="•"/>
      <w:lvlJc w:val="left"/>
      <w:pPr>
        <w:ind w:left="7451" w:hanging="403"/>
      </w:pPr>
      <w:rPr>
        <w:rFonts w:hint="default"/>
        <w:lang w:val="en-US" w:eastAsia="en-US" w:bidi="en-US"/>
      </w:rPr>
    </w:lvl>
    <w:lvl w:ilvl="7">
      <w:numFmt w:val="bullet"/>
      <w:lvlText w:val="•"/>
      <w:lvlJc w:val="left"/>
      <w:pPr>
        <w:ind w:left="8459" w:hanging="403"/>
      </w:pPr>
      <w:rPr>
        <w:rFonts w:hint="default"/>
        <w:lang w:val="en-US" w:eastAsia="en-US" w:bidi="en-US"/>
      </w:rPr>
    </w:lvl>
    <w:lvl w:ilvl="8">
      <w:numFmt w:val="bullet"/>
      <w:lvlText w:val="•"/>
      <w:lvlJc w:val="left"/>
      <w:pPr>
        <w:ind w:left="9468" w:hanging="403"/>
      </w:pPr>
      <w:rPr>
        <w:rFonts w:hint="default"/>
        <w:lang w:val="en-US" w:eastAsia="en-US" w:bidi="en-US"/>
      </w:rPr>
    </w:lvl>
  </w:abstractNum>
  <w:abstractNum w:abstractNumId="10">
    <w:nsid w:val="5EB541AE"/>
    <w:multiLevelType w:val="multilevel"/>
    <w:tmpl w:val="5EB541AE"/>
    <w:lvl w:ilvl="0">
      <w:start w:val="1"/>
      <w:numFmt w:val="lowerLetter"/>
      <w:lvlText w:val="%1)"/>
      <w:lvlJc w:val="left"/>
      <w:pPr>
        <w:ind w:left="719" w:hanging="403"/>
      </w:pPr>
      <w:rPr>
        <w:rFonts w:ascii="Arial" w:eastAsia="Cambria" w:hAnsi="Arial" w:cs="Arial" w:hint="default"/>
        <w:color w:val="231F20"/>
        <w:spacing w:val="-11"/>
        <w:w w:val="100"/>
        <w:sz w:val="24"/>
        <w:szCs w:val="24"/>
        <w:lang w:val="en-US" w:eastAsia="en-US" w:bidi="en-US"/>
      </w:rPr>
    </w:lvl>
    <w:lvl w:ilvl="1">
      <w:numFmt w:val="bullet"/>
      <w:lvlText w:val="•"/>
      <w:lvlJc w:val="left"/>
      <w:pPr>
        <w:ind w:left="1796" w:hanging="403"/>
      </w:pPr>
      <w:rPr>
        <w:rFonts w:hint="default"/>
        <w:lang w:val="en-US" w:eastAsia="en-US" w:bidi="en-US"/>
      </w:rPr>
    </w:lvl>
    <w:lvl w:ilvl="2">
      <w:numFmt w:val="bullet"/>
      <w:lvlText w:val="•"/>
      <w:lvlJc w:val="left"/>
      <w:pPr>
        <w:ind w:left="2873" w:hanging="403"/>
      </w:pPr>
      <w:rPr>
        <w:rFonts w:hint="default"/>
        <w:lang w:val="en-US" w:eastAsia="en-US" w:bidi="en-US"/>
      </w:rPr>
    </w:lvl>
    <w:lvl w:ilvl="3">
      <w:numFmt w:val="bullet"/>
      <w:lvlText w:val="•"/>
      <w:lvlJc w:val="left"/>
      <w:pPr>
        <w:ind w:left="3949" w:hanging="403"/>
      </w:pPr>
      <w:rPr>
        <w:rFonts w:hint="default"/>
        <w:lang w:val="en-US" w:eastAsia="en-US" w:bidi="en-US"/>
      </w:rPr>
    </w:lvl>
    <w:lvl w:ilvl="4">
      <w:numFmt w:val="bullet"/>
      <w:lvlText w:val="•"/>
      <w:lvlJc w:val="left"/>
      <w:pPr>
        <w:ind w:left="5026" w:hanging="403"/>
      </w:pPr>
      <w:rPr>
        <w:rFonts w:hint="default"/>
        <w:lang w:val="en-US" w:eastAsia="en-US" w:bidi="en-US"/>
      </w:rPr>
    </w:lvl>
    <w:lvl w:ilvl="5">
      <w:numFmt w:val="bullet"/>
      <w:lvlText w:val="•"/>
      <w:lvlJc w:val="left"/>
      <w:pPr>
        <w:ind w:left="6102" w:hanging="403"/>
      </w:pPr>
      <w:rPr>
        <w:rFonts w:hint="default"/>
        <w:lang w:val="en-US" w:eastAsia="en-US" w:bidi="en-US"/>
      </w:rPr>
    </w:lvl>
    <w:lvl w:ilvl="6">
      <w:numFmt w:val="bullet"/>
      <w:lvlText w:val="•"/>
      <w:lvlJc w:val="left"/>
      <w:pPr>
        <w:ind w:left="7179" w:hanging="403"/>
      </w:pPr>
      <w:rPr>
        <w:rFonts w:hint="default"/>
        <w:lang w:val="en-US" w:eastAsia="en-US" w:bidi="en-US"/>
      </w:rPr>
    </w:lvl>
    <w:lvl w:ilvl="7">
      <w:numFmt w:val="bullet"/>
      <w:lvlText w:val="•"/>
      <w:lvlJc w:val="left"/>
      <w:pPr>
        <w:ind w:left="8255" w:hanging="403"/>
      </w:pPr>
      <w:rPr>
        <w:rFonts w:hint="default"/>
        <w:lang w:val="en-US" w:eastAsia="en-US" w:bidi="en-US"/>
      </w:rPr>
    </w:lvl>
    <w:lvl w:ilvl="8">
      <w:numFmt w:val="bullet"/>
      <w:lvlText w:val="•"/>
      <w:lvlJc w:val="left"/>
      <w:pPr>
        <w:ind w:left="9332" w:hanging="403"/>
      </w:pPr>
      <w:rPr>
        <w:rFonts w:hint="default"/>
        <w:lang w:val="en-US" w:eastAsia="en-US" w:bidi="en-US"/>
      </w:rPr>
    </w:lvl>
  </w:abstractNum>
  <w:abstractNum w:abstractNumId="11">
    <w:nsid w:val="5EB541B9"/>
    <w:multiLevelType w:val="multilevel"/>
    <w:tmpl w:val="5EB541B9"/>
    <w:lvl w:ilvl="0">
      <w:start w:val="1"/>
      <w:numFmt w:val="lowerLetter"/>
      <w:lvlText w:val="%1)"/>
      <w:lvlJc w:val="left"/>
      <w:pPr>
        <w:ind w:left="1399" w:hanging="403"/>
      </w:pPr>
      <w:rPr>
        <w:rFonts w:ascii="Arial" w:eastAsia="Cambria" w:hAnsi="Arial" w:cs="Arial" w:hint="default"/>
        <w:color w:val="231F20"/>
        <w:spacing w:val="-11"/>
        <w:w w:val="100"/>
        <w:sz w:val="24"/>
        <w:szCs w:val="24"/>
        <w:lang w:val="en-US" w:eastAsia="en-US" w:bidi="en-US"/>
      </w:rPr>
    </w:lvl>
    <w:lvl w:ilvl="1">
      <w:numFmt w:val="bullet"/>
      <w:lvlText w:val="•"/>
      <w:lvlJc w:val="left"/>
      <w:pPr>
        <w:ind w:left="2408" w:hanging="403"/>
      </w:pPr>
      <w:rPr>
        <w:rFonts w:hint="default"/>
        <w:lang w:val="en-US" w:eastAsia="en-US" w:bidi="en-US"/>
      </w:rPr>
    </w:lvl>
    <w:lvl w:ilvl="2">
      <w:numFmt w:val="bullet"/>
      <w:lvlText w:val="•"/>
      <w:lvlJc w:val="left"/>
      <w:pPr>
        <w:ind w:left="3417" w:hanging="403"/>
      </w:pPr>
      <w:rPr>
        <w:rFonts w:hint="default"/>
        <w:lang w:val="en-US" w:eastAsia="en-US" w:bidi="en-US"/>
      </w:rPr>
    </w:lvl>
    <w:lvl w:ilvl="3">
      <w:numFmt w:val="bullet"/>
      <w:lvlText w:val="•"/>
      <w:lvlJc w:val="left"/>
      <w:pPr>
        <w:ind w:left="4425" w:hanging="403"/>
      </w:pPr>
      <w:rPr>
        <w:rFonts w:hint="default"/>
        <w:lang w:val="en-US" w:eastAsia="en-US" w:bidi="en-US"/>
      </w:rPr>
    </w:lvl>
    <w:lvl w:ilvl="4">
      <w:numFmt w:val="bullet"/>
      <w:lvlText w:val="•"/>
      <w:lvlJc w:val="left"/>
      <w:pPr>
        <w:ind w:left="5434" w:hanging="403"/>
      </w:pPr>
      <w:rPr>
        <w:rFonts w:hint="default"/>
        <w:lang w:val="en-US" w:eastAsia="en-US" w:bidi="en-US"/>
      </w:rPr>
    </w:lvl>
    <w:lvl w:ilvl="5">
      <w:numFmt w:val="bullet"/>
      <w:lvlText w:val="•"/>
      <w:lvlJc w:val="left"/>
      <w:pPr>
        <w:ind w:left="6442" w:hanging="403"/>
      </w:pPr>
      <w:rPr>
        <w:rFonts w:hint="default"/>
        <w:lang w:val="en-US" w:eastAsia="en-US" w:bidi="en-US"/>
      </w:rPr>
    </w:lvl>
    <w:lvl w:ilvl="6">
      <w:numFmt w:val="bullet"/>
      <w:lvlText w:val="•"/>
      <w:lvlJc w:val="left"/>
      <w:pPr>
        <w:ind w:left="7451" w:hanging="403"/>
      </w:pPr>
      <w:rPr>
        <w:rFonts w:hint="default"/>
        <w:lang w:val="en-US" w:eastAsia="en-US" w:bidi="en-US"/>
      </w:rPr>
    </w:lvl>
    <w:lvl w:ilvl="7">
      <w:numFmt w:val="bullet"/>
      <w:lvlText w:val="•"/>
      <w:lvlJc w:val="left"/>
      <w:pPr>
        <w:ind w:left="8459" w:hanging="403"/>
      </w:pPr>
      <w:rPr>
        <w:rFonts w:hint="default"/>
        <w:lang w:val="en-US" w:eastAsia="en-US" w:bidi="en-US"/>
      </w:rPr>
    </w:lvl>
    <w:lvl w:ilvl="8">
      <w:numFmt w:val="bullet"/>
      <w:lvlText w:val="•"/>
      <w:lvlJc w:val="left"/>
      <w:pPr>
        <w:ind w:left="9468" w:hanging="403"/>
      </w:pPr>
      <w:rPr>
        <w:rFonts w:hint="default"/>
        <w:lang w:val="en-US" w:eastAsia="en-US" w:bidi="en-US"/>
      </w:rPr>
    </w:lvl>
  </w:abstractNum>
  <w:abstractNum w:abstractNumId="12">
    <w:nsid w:val="5EBBA2F2"/>
    <w:multiLevelType w:val="singleLevel"/>
    <w:tmpl w:val="5EBBA2F2"/>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13">
    <w:nsid w:val="5EBBA397"/>
    <w:multiLevelType w:val="singleLevel"/>
    <w:tmpl w:val="5EBBA397"/>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14">
    <w:nsid w:val="633F377E"/>
    <w:multiLevelType w:val="multilevel"/>
    <w:tmpl w:val="633F377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8"/>
  </w:num>
  <w:num w:numId="3">
    <w:abstractNumId w:val="3"/>
  </w:num>
  <w:num w:numId="4">
    <w:abstractNumId w:val="14"/>
  </w:num>
  <w:num w:numId="5">
    <w:abstractNumId w:val="4"/>
  </w:num>
  <w:num w:numId="6">
    <w:abstractNumId w:val="0"/>
  </w:num>
  <w:num w:numId="7">
    <w:abstractNumId w:val="1"/>
  </w:num>
  <w:num w:numId="8">
    <w:abstractNumId w:val="5"/>
  </w:num>
  <w:num w:numId="9">
    <w:abstractNumId w:val="9"/>
  </w:num>
  <w:num w:numId="10">
    <w:abstractNumId w:val="10"/>
  </w:num>
  <w:num w:numId="11">
    <w:abstractNumId w:val="12"/>
  </w:num>
  <w:num w:numId="12">
    <w:abstractNumId w:val="6"/>
  </w:num>
  <w:num w:numId="13">
    <w:abstractNumId w:val="11"/>
  </w:num>
  <w:num w:numId="14">
    <w:abstractNumId w:val="1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FD9"/>
    <w:rsid w:val="000E6FD9"/>
    <w:rsid w:val="00233458"/>
    <w:rsid w:val="003F7D00"/>
    <w:rsid w:val="004507E3"/>
    <w:rsid w:val="006B3B41"/>
    <w:rsid w:val="00A53C26"/>
    <w:rsid w:val="00AC7E58"/>
    <w:rsid w:val="00B01B13"/>
    <w:rsid w:val="00C37F02"/>
    <w:rsid w:val="00D76FBB"/>
    <w:rsid w:val="00DC44EC"/>
    <w:rsid w:val="00E10815"/>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pacing w:after="200" w:line="276" w:lineRule="auto"/>
      </w:pPr>
    </w:pPrDefault>
  </w:docDefaults>
  <w:latentStyles w:defLockedState="0" w:defUIPriority="0" w:defSemiHidden="0" w:defUnhideWhenUsed="1" w:defQFormat="0" w:count="267">
    <w:lsdException w:name="Normal" w:unhideWhenUsed="0" w:qFormat="1"/>
    <w:lsdException w:name="heading 1" w:unhideWhenUsed="0" w:qFormat="1"/>
    <w:lsdException w:name="heading 2" w:qFormat="1"/>
    <w:lsdException w:name="heading 3" w:uiPriority="9" w:unhideWhenUsed="0"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semiHidden="1"/>
    <w:lsdException w:name="header" w:unhideWhenUsed="0"/>
    <w:lsdException w:name="footer" w:uiPriority="99" w:unhideWhenUsed="0"/>
    <w:lsdException w:name="index heading" w:unhideWhenUsed="0" w:qFormat="1"/>
    <w:lsdException w:name="caption" w:semiHidden="1" w:qFormat="1"/>
    <w:lsdException w:name="table of figures" w:semiHidden="1"/>
    <w:lsdException w:name="envelope address" w:semiHidden="1"/>
    <w:lsdException w:name="envelope return" w:semiHidden="1"/>
    <w:lsdException w:name="footnote reference" w:semiHidden="1" w:unhideWhenUsed="0" w:qFormat="1"/>
    <w:lsdException w:name="annotation reference" w:semiHidden="1"/>
    <w:lsdException w:name="line number" w:semiHidden="1"/>
    <w:lsdException w:name="page number" w:semiHidden="1"/>
    <w:lsdException w:name="endnote reference" w:unhideWhenUsed="0" w:qFormat="1"/>
    <w:lsdException w:name="endnote text" w:unhideWhenUsed="0" w:qFormat="1"/>
    <w:lsdException w:name="table of authorities" w:semiHidden="1"/>
    <w:lsdException w:name="macro" w:semiHidden="1"/>
    <w:lsdException w:name="toa heading" w:semiHidden="1"/>
    <w:lsdException w:name="List" w:unhideWhenUsed="0"/>
    <w:lsdException w:name="List Bullet" w:semiHidden="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lsdException w:name="Body Text"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FollowedHyperlink" w:unhideWhenUsed="0" w:qFormat="1"/>
    <w:lsdException w:name="Strong" w:uiPriority="22" w:unhideWhenUsed="0" w:qFormat="1"/>
    <w:lsdException w:name="Emphasis" w:uiPriority="20" w:unhideWhenUsed="0" w:qFormat="1"/>
    <w:lsdException w:name="Document Map" w:semiHidden="1" w:unhideWhenUsed="0" w:qFormat="1"/>
    <w:lsdException w:name="Plain Text" w:unhideWhenUsed="0" w:qFormat="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nhideWhenUsed="0"/>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uppressAutoHyphens/>
    </w:pPr>
    <w:rPr>
      <w:sz w:val="24"/>
      <w:szCs w:val="24"/>
    </w:rPr>
  </w:style>
  <w:style w:type="paragraph" w:styleId="1">
    <w:name w:val="heading 1"/>
    <w:basedOn w:val="a"/>
    <w:next w:val="a"/>
    <w:link w:val="10"/>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qFormat/>
    <w:pPr>
      <w:spacing w:beforeAutospacing="1" w:afterAutospacing="1"/>
      <w:outlineLvl w:val="2"/>
    </w:pPr>
    <w:rPr>
      <w:b/>
      <w:bCs/>
      <w:sz w:val="27"/>
      <w:szCs w:val="27"/>
    </w:rPr>
  </w:style>
  <w:style w:type="paragraph" w:styleId="4">
    <w:name w:val="heading 4"/>
    <w:basedOn w:val="a"/>
    <w:next w:val="a"/>
    <w:link w:val="40"/>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nhideWhenUsed/>
    <w:qFormat/>
    <w:pPr>
      <w:keepNext/>
      <w:keepLines/>
      <w:spacing w:before="40"/>
      <w:outlineLvl w:val="5"/>
    </w:pPr>
    <w:rPr>
      <w:rFonts w:asciiTheme="majorHAnsi" w:eastAsiaTheme="majorEastAsia" w:hAnsiTheme="majorHAnsi" w:cstheme="majorBidi"/>
      <w:color w:val="244061"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uiPriority w:val="99"/>
    <w:qFormat/>
    <w:rPr>
      <w:rFonts w:ascii="Tahoma" w:hAnsi="Tahoma" w:cs="Tahoma"/>
      <w:sz w:val="16"/>
      <w:szCs w:val="16"/>
    </w:rPr>
  </w:style>
  <w:style w:type="paragraph" w:styleId="a4">
    <w:name w:val="Body Text"/>
    <w:basedOn w:val="a"/>
    <w:link w:val="11"/>
    <w:pPr>
      <w:spacing w:line="360" w:lineRule="auto"/>
      <w:ind w:firstLine="720"/>
      <w:jc w:val="center"/>
    </w:pPr>
    <w:rPr>
      <w:rFonts w:ascii="Arial" w:hAnsi="Arial"/>
      <w:b/>
      <w:sz w:val="36"/>
      <w:szCs w:val="20"/>
      <w:lang w:eastAsia="ja-JP"/>
    </w:rPr>
  </w:style>
  <w:style w:type="paragraph" w:styleId="a5">
    <w:name w:val="annotation text"/>
    <w:basedOn w:val="a"/>
    <w:link w:val="a6"/>
    <w:unhideWhenUsed/>
    <w:rPr>
      <w:sz w:val="20"/>
      <w:szCs w:val="20"/>
    </w:rPr>
  </w:style>
  <w:style w:type="paragraph" w:styleId="a7">
    <w:name w:val="annotation subject"/>
    <w:basedOn w:val="a5"/>
    <w:next w:val="a5"/>
    <w:link w:val="a8"/>
    <w:unhideWhenUsed/>
    <w:rPr>
      <w:b/>
      <w:bCs/>
    </w:rPr>
  </w:style>
  <w:style w:type="paragraph" w:styleId="a9">
    <w:name w:val="Document Map"/>
    <w:basedOn w:val="a"/>
    <w:semiHidden/>
    <w:qFormat/>
    <w:pPr>
      <w:shd w:val="clear" w:color="auto" w:fill="000080"/>
    </w:pPr>
    <w:rPr>
      <w:rFonts w:ascii="Tahoma" w:hAnsi="Tahoma" w:cs="Tahoma"/>
      <w:sz w:val="20"/>
      <w:szCs w:val="20"/>
    </w:rPr>
  </w:style>
  <w:style w:type="paragraph" w:styleId="aa">
    <w:name w:val="endnote text"/>
    <w:basedOn w:val="a"/>
    <w:qFormat/>
    <w:rPr>
      <w:sz w:val="20"/>
      <w:szCs w:val="20"/>
    </w:rPr>
  </w:style>
  <w:style w:type="paragraph" w:styleId="ab">
    <w:name w:val="footer"/>
    <w:basedOn w:val="a"/>
    <w:uiPriority w:val="99"/>
    <w:pPr>
      <w:tabs>
        <w:tab w:val="center" w:pos="4677"/>
        <w:tab w:val="right" w:pos="9355"/>
      </w:tabs>
    </w:pPr>
  </w:style>
  <w:style w:type="paragraph" w:styleId="ac">
    <w:name w:val="footnote text"/>
    <w:basedOn w:val="a"/>
    <w:semiHidden/>
    <w:qFormat/>
    <w:rPr>
      <w:sz w:val="20"/>
      <w:szCs w:val="20"/>
    </w:rPr>
  </w:style>
  <w:style w:type="paragraph" w:styleId="ad">
    <w:name w:val="header"/>
    <w:basedOn w:val="a"/>
    <w:pPr>
      <w:widowControl w:val="0"/>
      <w:tabs>
        <w:tab w:val="center" w:pos="4677"/>
        <w:tab w:val="right" w:pos="9355"/>
      </w:tabs>
      <w:spacing w:line="360" w:lineRule="auto"/>
      <w:ind w:firstLine="720"/>
      <w:jc w:val="both"/>
    </w:pPr>
    <w:rPr>
      <w:rFonts w:ascii="Arial" w:hAnsi="Arial" w:cs="Arial"/>
      <w:sz w:val="20"/>
      <w:szCs w:val="20"/>
      <w:lang w:eastAsia="en-US"/>
    </w:rPr>
  </w:style>
  <w:style w:type="paragraph" w:styleId="ae">
    <w:name w:val="index heading"/>
    <w:basedOn w:val="a"/>
    <w:next w:val="12"/>
    <w:qFormat/>
    <w:pPr>
      <w:suppressLineNumbers/>
    </w:pPr>
    <w:rPr>
      <w:rFonts w:cs="Mangal"/>
    </w:rPr>
  </w:style>
  <w:style w:type="paragraph" w:styleId="12">
    <w:name w:val="index 1"/>
    <w:basedOn w:val="a"/>
    <w:next w:val="a"/>
    <w:unhideWhenUsed/>
  </w:style>
  <w:style w:type="paragraph" w:styleId="af">
    <w:name w:val="List"/>
    <w:basedOn w:val="a4"/>
    <w:rPr>
      <w:rFonts w:cs="Mangal"/>
    </w:rPr>
  </w:style>
  <w:style w:type="paragraph" w:styleId="af0">
    <w:name w:val="Normal (Web)"/>
    <w:basedOn w:val="a"/>
    <w:uiPriority w:val="99"/>
    <w:unhideWhenUsed/>
    <w:qFormat/>
    <w:pPr>
      <w:spacing w:beforeAutospacing="1" w:afterAutospacing="1"/>
    </w:pPr>
  </w:style>
  <w:style w:type="paragraph" w:styleId="af1">
    <w:name w:val="Plain Text"/>
    <w:basedOn w:val="a"/>
    <w:qFormat/>
    <w:pPr>
      <w:spacing w:line="360" w:lineRule="auto"/>
      <w:ind w:firstLine="720"/>
      <w:jc w:val="both"/>
    </w:pPr>
    <w:rPr>
      <w:rFonts w:ascii="Courier New" w:hAnsi="Courier New"/>
      <w:sz w:val="20"/>
      <w:szCs w:val="20"/>
      <w:lang w:eastAsia="ja-JP"/>
    </w:rPr>
  </w:style>
  <w:style w:type="paragraph" w:styleId="af2">
    <w:name w:val="Subtitle"/>
    <w:basedOn w:val="a"/>
    <w:next w:val="a"/>
    <w:link w:val="af3"/>
    <w:qFormat/>
    <w:pPr>
      <w:spacing w:after="160"/>
    </w:pPr>
    <w:rPr>
      <w:rFonts w:asciiTheme="minorHAnsi" w:eastAsiaTheme="minorEastAsia" w:hAnsiTheme="minorHAnsi" w:cstheme="minorBidi"/>
      <w:color w:val="595959" w:themeColor="text1" w:themeTint="A6"/>
      <w:spacing w:val="15"/>
      <w:sz w:val="22"/>
      <w:szCs w:val="22"/>
    </w:rPr>
  </w:style>
  <w:style w:type="paragraph" w:styleId="af4">
    <w:name w:val="Title"/>
    <w:basedOn w:val="a"/>
    <w:next w:val="a4"/>
    <w:qFormat/>
    <w:pPr>
      <w:keepNext/>
      <w:spacing w:before="240" w:after="120"/>
    </w:pPr>
    <w:rPr>
      <w:rFonts w:ascii="Liberation Sans" w:eastAsia="Microsoft YaHei" w:hAnsi="Liberation Sans" w:cs="Mangal"/>
      <w:sz w:val="28"/>
      <w:szCs w:val="28"/>
    </w:rPr>
  </w:style>
  <w:style w:type="paragraph" w:styleId="13">
    <w:name w:val="toc 1"/>
    <w:basedOn w:val="a"/>
    <w:next w:val="a"/>
    <w:uiPriority w:val="39"/>
    <w:unhideWhenUsed/>
    <w:pPr>
      <w:spacing w:before="240" w:after="240"/>
    </w:pPr>
    <w:rPr>
      <w:rFonts w:ascii="Arial" w:hAnsi="Arial" w:cs="Arial"/>
      <w:b/>
      <w:sz w:val="28"/>
      <w:szCs w:val="28"/>
    </w:rPr>
  </w:style>
  <w:style w:type="paragraph" w:styleId="21">
    <w:name w:val="toc 2"/>
    <w:basedOn w:val="a"/>
    <w:next w:val="a"/>
    <w:uiPriority w:val="39"/>
    <w:unhideWhenUsed/>
    <w:pPr>
      <w:suppressAutoHyphens w:val="0"/>
      <w:spacing w:after="100" w:line="259" w:lineRule="auto"/>
      <w:ind w:left="220"/>
    </w:pPr>
    <w:rPr>
      <w:rFonts w:asciiTheme="minorHAnsi" w:eastAsiaTheme="minorEastAsia" w:hAnsiTheme="minorHAnsi"/>
      <w:sz w:val="22"/>
      <w:szCs w:val="22"/>
    </w:rPr>
  </w:style>
  <w:style w:type="paragraph" w:styleId="31">
    <w:name w:val="toc 3"/>
    <w:basedOn w:val="a"/>
    <w:next w:val="a"/>
    <w:uiPriority w:val="39"/>
    <w:unhideWhenUsed/>
    <w:pPr>
      <w:suppressAutoHyphens w:val="0"/>
      <w:spacing w:after="100" w:line="259" w:lineRule="auto"/>
      <w:ind w:left="440"/>
    </w:pPr>
    <w:rPr>
      <w:rFonts w:asciiTheme="minorHAnsi" w:eastAsiaTheme="minorEastAsia" w:hAnsiTheme="minorHAnsi"/>
      <w:sz w:val="22"/>
      <w:szCs w:val="22"/>
    </w:rPr>
  </w:style>
  <w:style w:type="character" w:styleId="af5">
    <w:name w:val="annotation reference"/>
    <w:basedOn w:val="a0"/>
    <w:unhideWhenUsed/>
    <w:rPr>
      <w:sz w:val="16"/>
      <w:szCs w:val="16"/>
    </w:rPr>
  </w:style>
  <w:style w:type="character" w:styleId="af6">
    <w:name w:val="Emphasis"/>
    <w:uiPriority w:val="20"/>
    <w:qFormat/>
    <w:rPr>
      <w:i/>
      <w:iCs/>
    </w:rPr>
  </w:style>
  <w:style w:type="character" w:styleId="af7">
    <w:name w:val="endnote reference"/>
    <w:qFormat/>
    <w:rPr>
      <w:vertAlign w:val="superscript"/>
    </w:rPr>
  </w:style>
  <w:style w:type="character" w:styleId="af8">
    <w:name w:val="FollowedHyperlink"/>
    <w:qFormat/>
    <w:rPr>
      <w:color w:val="800080"/>
      <w:u w:val="single"/>
    </w:rPr>
  </w:style>
  <w:style w:type="character" w:styleId="af9">
    <w:name w:val="footnote reference"/>
    <w:semiHidden/>
    <w:qFormat/>
    <w:rPr>
      <w:vertAlign w:val="superscript"/>
    </w:rPr>
  </w:style>
  <w:style w:type="character" w:styleId="afa">
    <w:name w:val="Hyperlink"/>
    <w:basedOn w:val="a0"/>
    <w:uiPriority w:val="99"/>
    <w:unhideWhenUsed/>
    <w:rPr>
      <w:color w:val="0000FF" w:themeColor="hyperlink"/>
      <w:u w:val="single"/>
    </w:rPr>
  </w:style>
  <w:style w:type="character" w:styleId="afb">
    <w:name w:val="Strong"/>
    <w:uiPriority w:val="22"/>
    <w:qFormat/>
    <w:rPr>
      <w:b/>
      <w:bCs/>
    </w:rPr>
  </w:style>
  <w:style w:type="table" w:styleId="af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Верхний колонтитул Знак"/>
    <w:qFormat/>
    <w:rPr>
      <w:rFonts w:ascii="Arial" w:hAnsi="Arial" w:cs="Arial"/>
      <w:lang w:eastAsia="en-US"/>
    </w:rPr>
  </w:style>
  <w:style w:type="character" w:customStyle="1" w:styleId="afe">
    <w:name w:val="Текст Знак"/>
    <w:qFormat/>
    <w:rPr>
      <w:rFonts w:ascii="Courier New" w:hAnsi="Courier New"/>
      <w:lang w:eastAsia="ja-JP"/>
    </w:rPr>
  </w:style>
  <w:style w:type="character" w:customStyle="1" w:styleId="aff">
    <w:name w:val="Основной текст Знак"/>
    <w:qFormat/>
    <w:rPr>
      <w:rFonts w:ascii="Arial" w:hAnsi="Arial"/>
      <w:b/>
      <w:sz w:val="36"/>
      <w:lang w:eastAsia="ja-JP"/>
    </w:rPr>
  </w:style>
  <w:style w:type="character" w:customStyle="1" w:styleId="aff0">
    <w:name w:val="Нижний колонтитул Знак"/>
    <w:uiPriority w:val="99"/>
    <w:qFormat/>
    <w:rPr>
      <w:sz w:val="24"/>
      <w:szCs w:val="24"/>
    </w:rPr>
  </w:style>
  <w:style w:type="character" w:customStyle="1" w:styleId="shorttext">
    <w:name w:val="short_text"/>
    <w:basedOn w:val="a0"/>
    <w:qFormat/>
  </w:style>
  <w:style w:type="character" w:customStyle="1" w:styleId="hps">
    <w:name w:val="hps"/>
    <w:basedOn w:val="a0"/>
    <w:qFormat/>
  </w:style>
  <w:style w:type="character" w:customStyle="1" w:styleId="-">
    <w:name w:val="Интернет-ссылка"/>
    <w:uiPriority w:val="99"/>
    <w:unhideWhenUsed/>
    <w:qFormat/>
    <w:rPr>
      <w:color w:val="0000FF"/>
      <w:u w:val="single"/>
    </w:rPr>
  </w:style>
  <w:style w:type="character" w:customStyle="1" w:styleId="aff1">
    <w:name w:val="гост_набор Знак"/>
    <w:qFormat/>
    <w:locked/>
    <w:rPr>
      <w:rFonts w:ascii="Arial" w:hAnsi="Arial" w:cs="Arial"/>
      <w:sz w:val="24"/>
    </w:rPr>
  </w:style>
  <w:style w:type="character" w:customStyle="1" w:styleId="aff2">
    <w:name w:val="Текст выноски Знак"/>
    <w:uiPriority w:val="99"/>
    <w:qFormat/>
    <w:rPr>
      <w:rFonts w:ascii="Tahoma" w:hAnsi="Tahoma" w:cs="Tahoma"/>
      <w:sz w:val="16"/>
      <w:szCs w:val="16"/>
    </w:rPr>
  </w:style>
  <w:style w:type="character" w:customStyle="1" w:styleId="w">
    <w:name w:val="w"/>
    <w:qFormat/>
  </w:style>
  <w:style w:type="character" w:customStyle="1" w:styleId="30">
    <w:name w:val="Заголовок 3 Знак"/>
    <w:link w:val="3"/>
    <w:uiPriority w:val="9"/>
    <w:qFormat/>
    <w:rPr>
      <w:b/>
      <w:bCs/>
      <w:sz w:val="27"/>
      <w:szCs w:val="27"/>
    </w:rPr>
  </w:style>
  <w:style w:type="character" w:customStyle="1" w:styleId="tagtrans">
    <w:name w:val="tag_trans"/>
    <w:qFormat/>
  </w:style>
  <w:style w:type="character" w:customStyle="1" w:styleId="extended-textfull">
    <w:name w:val="extended-text__full"/>
    <w:qFormat/>
  </w:style>
  <w:style w:type="character" w:customStyle="1" w:styleId="definition">
    <w:name w:val="definition"/>
    <w:qFormat/>
  </w:style>
  <w:style w:type="character" w:customStyle="1" w:styleId="aff3">
    <w:name w:val="Текст концевой сноски Знак"/>
    <w:basedOn w:val="a0"/>
    <w:qFormat/>
  </w:style>
  <w:style w:type="character" w:customStyle="1" w:styleId="14">
    <w:name w:val="Замещающий текст1"/>
    <w:basedOn w:val="a0"/>
    <w:uiPriority w:val="99"/>
    <w:semiHidden/>
    <w:qFormat/>
    <w:rPr>
      <w:color w:val="808080"/>
    </w:rPr>
  </w:style>
  <w:style w:type="character" w:customStyle="1" w:styleId="10">
    <w:name w:val="Заголовок 1 Знак"/>
    <w:basedOn w:val="a0"/>
    <w:link w:val="1"/>
    <w:qFormat/>
    <w:rPr>
      <w:rFonts w:asciiTheme="majorHAnsi" w:eastAsiaTheme="majorEastAsia" w:hAnsiTheme="majorHAnsi" w:cstheme="majorBidi"/>
      <w:b/>
      <w:bCs/>
      <w:color w:val="365F91" w:themeColor="accent1" w:themeShade="BF"/>
      <w:sz w:val="28"/>
      <w:szCs w:val="28"/>
    </w:rPr>
  </w:style>
  <w:style w:type="character" w:customStyle="1" w:styleId="ListLabel1">
    <w:name w:val="ListLabel 1"/>
    <w:qFormat/>
    <w:rPr>
      <w:b/>
    </w:rPr>
  </w:style>
  <w:style w:type="character" w:customStyle="1" w:styleId="ListLabel2">
    <w:name w:val="ListLabel 2"/>
    <w:qFormat/>
    <w:rPr>
      <w:sz w:val="24"/>
      <w:szCs w:val="24"/>
    </w:rPr>
  </w:style>
  <w:style w:type="character" w:customStyle="1" w:styleId="ListLabel3">
    <w:name w:val="ListLabel 3"/>
    <w:qFormat/>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rFonts w:eastAsia="Calibri" w:cs="Arial"/>
    </w:rPr>
  </w:style>
  <w:style w:type="character" w:customStyle="1" w:styleId="aff4">
    <w:name w:val="Символ сноски"/>
    <w:qFormat/>
  </w:style>
  <w:style w:type="paragraph" w:customStyle="1" w:styleId="15">
    <w:name w:val="Название1"/>
    <w:basedOn w:val="a"/>
    <w:pPr>
      <w:suppressLineNumbers/>
      <w:spacing w:before="120" w:after="120"/>
    </w:pPr>
    <w:rPr>
      <w:rFonts w:cs="Mangal"/>
      <w:i/>
      <w:iCs/>
    </w:rPr>
  </w:style>
  <w:style w:type="paragraph" w:customStyle="1" w:styleId="-11">
    <w:name w:val="Цветной список - Акцент 11"/>
    <w:basedOn w:val="a"/>
    <w:uiPriority w:val="34"/>
    <w:qFormat/>
    <w:pPr>
      <w:ind w:left="720"/>
      <w:contextualSpacing/>
    </w:pPr>
    <w:rPr>
      <w:rFonts w:ascii="Calibri" w:eastAsia="Calibri" w:hAnsi="Calibri"/>
      <w:sz w:val="22"/>
      <w:szCs w:val="22"/>
      <w:lang w:eastAsia="en-US"/>
    </w:rPr>
  </w:style>
  <w:style w:type="paragraph" w:customStyle="1" w:styleId="FR1">
    <w:name w:val="FR1"/>
    <w:qFormat/>
    <w:pPr>
      <w:widowControl w:val="0"/>
      <w:suppressAutoHyphens/>
      <w:spacing w:line="300" w:lineRule="auto"/>
      <w:ind w:left="2280" w:right="2200" w:firstLine="720"/>
      <w:jc w:val="center"/>
    </w:pPr>
    <w:rPr>
      <w:sz w:val="28"/>
    </w:rPr>
  </w:style>
  <w:style w:type="paragraph" w:customStyle="1" w:styleId="aff5">
    <w:name w:val="Простой заголовок"/>
    <w:basedOn w:val="a"/>
    <w:qFormat/>
    <w:pPr>
      <w:keepNext/>
      <w:widowControl w:val="0"/>
      <w:spacing w:before="240" w:after="240" w:line="360" w:lineRule="auto"/>
      <w:ind w:firstLine="720"/>
    </w:pPr>
    <w:rPr>
      <w:rFonts w:ascii="Arial" w:hAnsi="Arial"/>
      <w:b/>
      <w:color w:val="000000"/>
      <w:sz w:val="28"/>
      <w:szCs w:val="20"/>
    </w:rPr>
  </w:style>
  <w:style w:type="paragraph" w:customStyle="1" w:styleId="aff6">
    <w:name w:val="гост_набор"/>
    <w:basedOn w:val="a"/>
    <w:qFormat/>
    <w:pPr>
      <w:spacing w:line="360" w:lineRule="auto"/>
      <w:ind w:firstLine="709"/>
      <w:jc w:val="both"/>
    </w:pPr>
    <w:rPr>
      <w:rFonts w:ascii="Arial" w:hAnsi="Arial" w:cs="Arial"/>
      <w:szCs w:val="20"/>
    </w:rPr>
  </w:style>
  <w:style w:type="paragraph" w:customStyle="1" w:styleId="src">
    <w:name w:val="src"/>
    <w:basedOn w:val="a"/>
    <w:qFormat/>
    <w:pPr>
      <w:spacing w:beforeAutospacing="1" w:afterAutospacing="1"/>
    </w:pPr>
  </w:style>
  <w:style w:type="paragraph" w:customStyle="1" w:styleId="16">
    <w:name w:val="Абзац списка1"/>
    <w:basedOn w:val="a"/>
    <w:uiPriority w:val="34"/>
    <w:qFormat/>
    <w:pPr>
      <w:ind w:left="720"/>
      <w:contextualSpacing/>
    </w:pPr>
  </w:style>
  <w:style w:type="paragraph" w:customStyle="1" w:styleId="FORMATTEXT">
    <w:name w:val=".FORMATTEXT"/>
    <w:uiPriority w:val="99"/>
    <w:qFormat/>
    <w:pPr>
      <w:widowControl w:val="0"/>
      <w:suppressAutoHyphens/>
    </w:pPr>
    <w:rPr>
      <w:rFonts w:ascii="Arial" w:hAnsi="Arial" w:cs="Arial"/>
      <w:sz w:val="24"/>
    </w:rPr>
  </w:style>
  <w:style w:type="table" w:customStyle="1" w:styleId="17">
    <w:name w:val="Сетка таблицы1"/>
    <w:basedOn w:val="a1"/>
    <w:uiPriority w:val="5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примечания Знак"/>
    <w:basedOn w:val="a0"/>
    <w:link w:val="a5"/>
    <w:semiHidden/>
  </w:style>
  <w:style w:type="character" w:customStyle="1" w:styleId="a8">
    <w:name w:val="Тема примечания Знак"/>
    <w:basedOn w:val="a6"/>
    <w:link w:val="a7"/>
    <w:semiHidden/>
    <w:rPr>
      <w:b/>
      <w:bCs/>
    </w:rPr>
  </w:style>
  <w:style w:type="paragraph" w:customStyle="1" w:styleId="18">
    <w:name w:val="Заголовок оглавления1"/>
    <w:basedOn w:val="1"/>
    <w:next w:val="a"/>
    <w:uiPriority w:val="39"/>
    <w:unhideWhenUsed/>
    <w:qFormat/>
    <w:pPr>
      <w:suppressAutoHyphens w:val="0"/>
      <w:spacing w:before="240" w:line="259" w:lineRule="auto"/>
      <w:outlineLvl w:val="9"/>
    </w:pPr>
    <w:rPr>
      <w:b w:val="0"/>
      <w:bCs w:val="0"/>
      <w:sz w:val="32"/>
      <w:szCs w:val="32"/>
    </w:rPr>
  </w:style>
  <w:style w:type="character" w:customStyle="1" w:styleId="af3">
    <w:name w:val="Подзаголовок Знак"/>
    <w:basedOn w:val="a0"/>
    <w:link w:val="af2"/>
    <w:rPr>
      <w:rFonts w:asciiTheme="minorHAnsi" w:eastAsiaTheme="minorEastAsia" w:hAnsiTheme="minorHAnsi" w:cstheme="minorBidi"/>
      <w:color w:val="595959" w:themeColor="text1" w:themeTint="A6"/>
      <w:spacing w:val="15"/>
      <w:sz w:val="22"/>
      <w:szCs w:val="22"/>
    </w:rPr>
  </w:style>
  <w:style w:type="character" w:customStyle="1" w:styleId="20">
    <w:name w:val="Заголовок 2 Знак"/>
    <w:basedOn w:val="a0"/>
    <w:link w:val="2"/>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rPr>
      <w:rFonts w:asciiTheme="majorHAnsi" w:eastAsiaTheme="majorEastAsia" w:hAnsiTheme="majorHAnsi" w:cstheme="majorBidi"/>
      <w:i/>
      <w:iCs/>
      <w:color w:val="365F91" w:themeColor="accent1" w:themeShade="BF"/>
      <w:sz w:val="24"/>
      <w:szCs w:val="24"/>
    </w:rPr>
  </w:style>
  <w:style w:type="table" w:customStyle="1" w:styleId="41">
    <w:name w:val="Сетка таблицы4"/>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Знак1"/>
    <w:basedOn w:val="a0"/>
    <w:link w:val="a4"/>
    <w:rPr>
      <w:rFonts w:ascii="Arial" w:hAnsi="Arial"/>
      <w:b/>
      <w:sz w:val="36"/>
      <w:lang w:eastAsia="ja-JP"/>
    </w:rPr>
  </w:style>
  <w:style w:type="character" w:customStyle="1" w:styleId="60">
    <w:name w:val="Заголовок 6 Знак"/>
    <w:basedOn w:val="a0"/>
    <w:link w:val="6"/>
    <w:semiHidden/>
    <w:rPr>
      <w:rFonts w:asciiTheme="majorHAnsi" w:eastAsiaTheme="majorEastAsia" w:hAnsiTheme="majorHAnsi" w:cstheme="majorBidi"/>
      <w:color w:val="244061" w:themeColor="accent1" w:themeShade="80"/>
      <w:sz w:val="24"/>
      <w:szCs w:val="24"/>
    </w:rPr>
  </w:style>
  <w:style w:type="character" w:customStyle="1" w:styleId="50">
    <w:name w:val="Заголовок 5 Знак"/>
    <w:basedOn w:val="a0"/>
    <w:link w:val="5"/>
    <w:semiHidden/>
    <w:rPr>
      <w:rFonts w:asciiTheme="majorHAnsi" w:eastAsiaTheme="majorEastAsia" w:hAnsiTheme="majorHAnsi" w:cstheme="majorBidi"/>
      <w:color w:val="365F91" w:themeColor="accent1" w:themeShade="BF"/>
      <w:sz w:val="24"/>
      <w:szCs w:val="24"/>
    </w:rPr>
  </w:style>
  <w:style w:type="paragraph" w:customStyle="1" w:styleId="TableParagraph">
    <w:name w:val="Table Paragraph"/>
    <w:basedOn w:val="a"/>
    <w:uiPriority w:val="1"/>
    <w:qFormat/>
    <w:pPr>
      <w:widowControl w:val="0"/>
      <w:suppressAutoHyphens w:val="0"/>
      <w:autoSpaceDE w:val="0"/>
      <w:autoSpaceDN w:val="0"/>
      <w:spacing w:before="31"/>
    </w:pPr>
    <w:rPr>
      <w:rFonts w:ascii="Cambria" w:eastAsia="Cambria" w:hAnsi="Cambria" w:cs="Cambria"/>
      <w:sz w:val="22"/>
      <w:szCs w:val="22"/>
      <w:lang w:val="en-US" w:eastAsia="en-US" w:bidi="en-US"/>
    </w:rPr>
  </w:style>
  <w:style w:type="character" w:customStyle="1" w:styleId="Headerorfooter2">
    <w:name w:val="Header or footer|2_"/>
    <w:basedOn w:val="a0"/>
    <w:link w:val="Headerorfooter20"/>
    <w:qFormat/>
    <w:rPr>
      <w:shd w:val="clear" w:color="auto" w:fill="FFFFFF"/>
    </w:rPr>
  </w:style>
  <w:style w:type="paragraph" w:customStyle="1" w:styleId="Headerorfooter20">
    <w:name w:val="Header or footer|2"/>
    <w:basedOn w:val="a"/>
    <w:link w:val="Headerorfooter2"/>
    <w:qFormat/>
    <w:pPr>
      <w:widowControl w:val="0"/>
      <w:shd w:val="clear" w:color="auto" w:fill="FFFFFF"/>
      <w:suppressAutoHyphens w:val="0"/>
    </w:pPr>
    <w:rPr>
      <w:sz w:val="20"/>
      <w:szCs w:val="20"/>
    </w:rPr>
  </w:style>
  <w:style w:type="character" w:customStyle="1" w:styleId="Bodytext1">
    <w:name w:val="Body text|1_"/>
    <w:basedOn w:val="a0"/>
    <w:link w:val="Bodytext10"/>
    <w:qFormat/>
    <w:rPr>
      <w:rFonts w:ascii="Cambria" w:eastAsia="Cambria" w:hAnsi="Cambria" w:cs="Cambria"/>
      <w:shd w:val="clear" w:color="auto" w:fill="FFFFFF"/>
    </w:rPr>
  </w:style>
  <w:style w:type="paragraph" w:customStyle="1" w:styleId="Bodytext10">
    <w:name w:val="Body text|1"/>
    <w:basedOn w:val="a"/>
    <w:link w:val="Bodytext1"/>
    <w:qFormat/>
    <w:pPr>
      <w:widowControl w:val="0"/>
      <w:shd w:val="clear" w:color="auto" w:fill="FFFFFF"/>
      <w:suppressAutoHyphens w:val="0"/>
      <w:spacing w:after="180"/>
    </w:pPr>
    <w:rPr>
      <w:rFonts w:ascii="Cambria" w:eastAsia="Cambria" w:hAnsi="Cambria" w:cs="Cambria"/>
      <w:sz w:val="20"/>
      <w:szCs w:val="20"/>
    </w:rPr>
  </w:style>
  <w:style w:type="character" w:customStyle="1" w:styleId="Picturecaption1">
    <w:name w:val="Picture caption|1_"/>
    <w:basedOn w:val="a0"/>
    <w:link w:val="Picturecaption10"/>
    <w:qFormat/>
    <w:rPr>
      <w:rFonts w:ascii="Cambria" w:eastAsia="Cambria" w:hAnsi="Cambria" w:cs="Cambria"/>
      <w:shd w:val="clear" w:color="auto" w:fill="FFFFFF"/>
    </w:rPr>
  </w:style>
  <w:style w:type="paragraph" w:customStyle="1" w:styleId="Picturecaption10">
    <w:name w:val="Picture caption|1"/>
    <w:basedOn w:val="a"/>
    <w:link w:val="Picturecaption1"/>
    <w:qFormat/>
    <w:pPr>
      <w:widowControl w:val="0"/>
      <w:shd w:val="clear" w:color="auto" w:fill="FFFFFF"/>
      <w:suppressAutoHyphens w:val="0"/>
      <w:spacing w:line="305" w:lineRule="auto"/>
    </w:pPr>
    <w:rPr>
      <w:rFonts w:ascii="Cambria" w:eastAsia="Cambria" w:hAnsi="Cambria" w:cs="Cambria"/>
      <w:sz w:val="20"/>
      <w:szCs w:val="20"/>
    </w:rPr>
  </w:style>
  <w:style w:type="character" w:customStyle="1" w:styleId="Other2">
    <w:name w:val="Other|2_"/>
    <w:basedOn w:val="a0"/>
    <w:link w:val="Other20"/>
    <w:qFormat/>
    <w:rPr>
      <w:rFonts w:ascii="Cambria" w:eastAsia="Cambria" w:hAnsi="Cambria" w:cs="Cambria"/>
      <w:shd w:val="clear" w:color="auto" w:fill="FFFFFF"/>
    </w:rPr>
  </w:style>
  <w:style w:type="paragraph" w:customStyle="1" w:styleId="Other20">
    <w:name w:val="Other|2"/>
    <w:basedOn w:val="a"/>
    <w:link w:val="Other2"/>
    <w:qFormat/>
    <w:pPr>
      <w:widowControl w:val="0"/>
      <w:shd w:val="clear" w:color="auto" w:fill="FFFFFF"/>
      <w:suppressAutoHyphens w:val="0"/>
      <w:spacing w:after="180"/>
    </w:pPr>
    <w:rPr>
      <w:rFonts w:ascii="Cambria" w:eastAsia="Cambria" w:hAnsi="Cambria" w:cs="Cambria"/>
      <w:sz w:val="20"/>
      <w:szCs w:val="20"/>
    </w:rPr>
  </w:style>
  <w:style w:type="paragraph" w:styleId="aff7">
    <w:name w:val="List Paragraph"/>
    <w:basedOn w:val="a"/>
    <w:uiPriority w:val="99"/>
    <w:unhideWhenUsed/>
    <w:rsid w:val="002334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spacing w:after="200" w:line="276" w:lineRule="auto"/>
      </w:pPr>
    </w:pPrDefault>
  </w:docDefaults>
  <w:latentStyles w:defLockedState="0" w:defUIPriority="0" w:defSemiHidden="0" w:defUnhideWhenUsed="1" w:defQFormat="0" w:count="267">
    <w:lsdException w:name="Normal" w:unhideWhenUsed="0" w:qFormat="1"/>
    <w:lsdException w:name="heading 1" w:unhideWhenUsed="0" w:qFormat="1"/>
    <w:lsdException w:name="heading 2" w:qFormat="1"/>
    <w:lsdException w:name="heading 3" w:uiPriority="9" w:unhideWhenUsed="0"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semiHidden="1"/>
    <w:lsdException w:name="header" w:unhideWhenUsed="0"/>
    <w:lsdException w:name="footer" w:uiPriority="99" w:unhideWhenUsed="0"/>
    <w:lsdException w:name="index heading" w:unhideWhenUsed="0" w:qFormat="1"/>
    <w:lsdException w:name="caption" w:semiHidden="1" w:qFormat="1"/>
    <w:lsdException w:name="table of figures" w:semiHidden="1"/>
    <w:lsdException w:name="envelope address" w:semiHidden="1"/>
    <w:lsdException w:name="envelope return" w:semiHidden="1"/>
    <w:lsdException w:name="footnote reference" w:semiHidden="1" w:unhideWhenUsed="0" w:qFormat="1"/>
    <w:lsdException w:name="annotation reference" w:semiHidden="1"/>
    <w:lsdException w:name="line number" w:semiHidden="1"/>
    <w:lsdException w:name="page number" w:semiHidden="1"/>
    <w:lsdException w:name="endnote reference" w:unhideWhenUsed="0" w:qFormat="1"/>
    <w:lsdException w:name="endnote text" w:unhideWhenUsed="0" w:qFormat="1"/>
    <w:lsdException w:name="table of authorities" w:semiHidden="1"/>
    <w:lsdException w:name="macro" w:semiHidden="1"/>
    <w:lsdException w:name="toa heading" w:semiHidden="1"/>
    <w:lsdException w:name="List" w:unhideWhenUsed="0"/>
    <w:lsdException w:name="List Bullet" w:semiHidden="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lsdException w:name="Body Text"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FollowedHyperlink" w:unhideWhenUsed="0" w:qFormat="1"/>
    <w:lsdException w:name="Strong" w:uiPriority="22" w:unhideWhenUsed="0" w:qFormat="1"/>
    <w:lsdException w:name="Emphasis" w:uiPriority="20" w:unhideWhenUsed="0" w:qFormat="1"/>
    <w:lsdException w:name="Document Map" w:semiHidden="1" w:unhideWhenUsed="0" w:qFormat="1"/>
    <w:lsdException w:name="Plain Text" w:unhideWhenUsed="0" w:qFormat="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nhideWhenUsed="0"/>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uppressAutoHyphens/>
    </w:pPr>
    <w:rPr>
      <w:sz w:val="24"/>
      <w:szCs w:val="24"/>
    </w:rPr>
  </w:style>
  <w:style w:type="paragraph" w:styleId="1">
    <w:name w:val="heading 1"/>
    <w:basedOn w:val="a"/>
    <w:next w:val="a"/>
    <w:link w:val="10"/>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qFormat/>
    <w:pPr>
      <w:spacing w:beforeAutospacing="1" w:afterAutospacing="1"/>
      <w:outlineLvl w:val="2"/>
    </w:pPr>
    <w:rPr>
      <w:b/>
      <w:bCs/>
      <w:sz w:val="27"/>
      <w:szCs w:val="27"/>
    </w:rPr>
  </w:style>
  <w:style w:type="paragraph" w:styleId="4">
    <w:name w:val="heading 4"/>
    <w:basedOn w:val="a"/>
    <w:next w:val="a"/>
    <w:link w:val="40"/>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nhideWhenUsed/>
    <w:qFormat/>
    <w:pPr>
      <w:keepNext/>
      <w:keepLines/>
      <w:spacing w:before="40"/>
      <w:outlineLvl w:val="5"/>
    </w:pPr>
    <w:rPr>
      <w:rFonts w:asciiTheme="majorHAnsi" w:eastAsiaTheme="majorEastAsia" w:hAnsiTheme="majorHAnsi" w:cstheme="majorBidi"/>
      <w:color w:val="244061"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uiPriority w:val="99"/>
    <w:qFormat/>
    <w:rPr>
      <w:rFonts w:ascii="Tahoma" w:hAnsi="Tahoma" w:cs="Tahoma"/>
      <w:sz w:val="16"/>
      <w:szCs w:val="16"/>
    </w:rPr>
  </w:style>
  <w:style w:type="paragraph" w:styleId="a4">
    <w:name w:val="Body Text"/>
    <w:basedOn w:val="a"/>
    <w:link w:val="11"/>
    <w:pPr>
      <w:spacing w:line="360" w:lineRule="auto"/>
      <w:ind w:firstLine="720"/>
      <w:jc w:val="center"/>
    </w:pPr>
    <w:rPr>
      <w:rFonts w:ascii="Arial" w:hAnsi="Arial"/>
      <w:b/>
      <w:sz w:val="36"/>
      <w:szCs w:val="20"/>
      <w:lang w:eastAsia="ja-JP"/>
    </w:rPr>
  </w:style>
  <w:style w:type="paragraph" w:styleId="a5">
    <w:name w:val="annotation text"/>
    <w:basedOn w:val="a"/>
    <w:link w:val="a6"/>
    <w:unhideWhenUsed/>
    <w:rPr>
      <w:sz w:val="20"/>
      <w:szCs w:val="20"/>
    </w:rPr>
  </w:style>
  <w:style w:type="paragraph" w:styleId="a7">
    <w:name w:val="annotation subject"/>
    <w:basedOn w:val="a5"/>
    <w:next w:val="a5"/>
    <w:link w:val="a8"/>
    <w:unhideWhenUsed/>
    <w:rPr>
      <w:b/>
      <w:bCs/>
    </w:rPr>
  </w:style>
  <w:style w:type="paragraph" w:styleId="a9">
    <w:name w:val="Document Map"/>
    <w:basedOn w:val="a"/>
    <w:semiHidden/>
    <w:qFormat/>
    <w:pPr>
      <w:shd w:val="clear" w:color="auto" w:fill="000080"/>
    </w:pPr>
    <w:rPr>
      <w:rFonts w:ascii="Tahoma" w:hAnsi="Tahoma" w:cs="Tahoma"/>
      <w:sz w:val="20"/>
      <w:szCs w:val="20"/>
    </w:rPr>
  </w:style>
  <w:style w:type="paragraph" w:styleId="aa">
    <w:name w:val="endnote text"/>
    <w:basedOn w:val="a"/>
    <w:qFormat/>
    <w:rPr>
      <w:sz w:val="20"/>
      <w:szCs w:val="20"/>
    </w:rPr>
  </w:style>
  <w:style w:type="paragraph" w:styleId="ab">
    <w:name w:val="footer"/>
    <w:basedOn w:val="a"/>
    <w:uiPriority w:val="99"/>
    <w:pPr>
      <w:tabs>
        <w:tab w:val="center" w:pos="4677"/>
        <w:tab w:val="right" w:pos="9355"/>
      </w:tabs>
    </w:pPr>
  </w:style>
  <w:style w:type="paragraph" w:styleId="ac">
    <w:name w:val="footnote text"/>
    <w:basedOn w:val="a"/>
    <w:semiHidden/>
    <w:qFormat/>
    <w:rPr>
      <w:sz w:val="20"/>
      <w:szCs w:val="20"/>
    </w:rPr>
  </w:style>
  <w:style w:type="paragraph" w:styleId="ad">
    <w:name w:val="header"/>
    <w:basedOn w:val="a"/>
    <w:pPr>
      <w:widowControl w:val="0"/>
      <w:tabs>
        <w:tab w:val="center" w:pos="4677"/>
        <w:tab w:val="right" w:pos="9355"/>
      </w:tabs>
      <w:spacing w:line="360" w:lineRule="auto"/>
      <w:ind w:firstLine="720"/>
      <w:jc w:val="both"/>
    </w:pPr>
    <w:rPr>
      <w:rFonts w:ascii="Arial" w:hAnsi="Arial" w:cs="Arial"/>
      <w:sz w:val="20"/>
      <w:szCs w:val="20"/>
      <w:lang w:eastAsia="en-US"/>
    </w:rPr>
  </w:style>
  <w:style w:type="paragraph" w:styleId="ae">
    <w:name w:val="index heading"/>
    <w:basedOn w:val="a"/>
    <w:next w:val="12"/>
    <w:qFormat/>
    <w:pPr>
      <w:suppressLineNumbers/>
    </w:pPr>
    <w:rPr>
      <w:rFonts w:cs="Mangal"/>
    </w:rPr>
  </w:style>
  <w:style w:type="paragraph" w:styleId="12">
    <w:name w:val="index 1"/>
    <w:basedOn w:val="a"/>
    <w:next w:val="a"/>
    <w:unhideWhenUsed/>
  </w:style>
  <w:style w:type="paragraph" w:styleId="af">
    <w:name w:val="List"/>
    <w:basedOn w:val="a4"/>
    <w:rPr>
      <w:rFonts w:cs="Mangal"/>
    </w:rPr>
  </w:style>
  <w:style w:type="paragraph" w:styleId="af0">
    <w:name w:val="Normal (Web)"/>
    <w:basedOn w:val="a"/>
    <w:uiPriority w:val="99"/>
    <w:unhideWhenUsed/>
    <w:qFormat/>
    <w:pPr>
      <w:spacing w:beforeAutospacing="1" w:afterAutospacing="1"/>
    </w:pPr>
  </w:style>
  <w:style w:type="paragraph" w:styleId="af1">
    <w:name w:val="Plain Text"/>
    <w:basedOn w:val="a"/>
    <w:qFormat/>
    <w:pPr>
      <w:spacing w:line="360" w:lineRule="auto"/>
      <w:ind w:firstLine="720"/>
      <w:jc w:val="both"/>
    </w:pPr>
    <w:rPr>
      <w:rFonts w:ascii="Courier New" w:hAnsi="Courier New"/>
      <w:sz w:val="20"/>
      <w:szCs w:val="20"/>
      <w:lang w:eastAsia="ja-JP"/>
    </w:rPr>
  </w:style>
  <w:style w:type="paragraph" w:styleId="af2">
    <w:name w:val="Subtitle"/>
    <w:basedOn w:val="a"/>
    <w:next w:val="a"/>
    <w:link w:val="af3"/>
    <w:qFormat/>
    <w:pPr>
      <w:spacing w:after="160"/>
    </w:pPr>
    <w:rPr>
      <w:rFonts w:asciiTheme="minorHAnsi" w:eastAsiaTheme="minorEastAsia" w:hAnsiTheme="minorHAnsi" w:cstheme="minorBidi"/>
      <w:color w:val="595959" w:themeColor="text1" w:themeTint="A6"/>
      <w:spacing w:val="15"/>
      <w:sz w:val="22"/>
      <w:szCs w:val="22"/>
    </w:rPr>
  </w:style>
  <w:style w:type="paragraph" w:styleId="af4">
    <w:name w:val="Title"/>
    <w:basedOn w:val="a"/>
    <w:next w:val="a4"/>
    <w:qFormat/>
    <w:pPr>
      <w:keepNext/>
      <w:spacing w:before="240" w:after="120"/>
    </w:pPr>
    <w:rPr>
      <w:rFonts w:ascii="Liberation Sans" w:eastAsia="Microsoft YaHei" w:hAnsi="Liberation Sans" w:cs="Mangal"/>
      <w:sz w:val="28"/>
      <w:szCs w:val="28"/>
    </w:rPr>
  </w:style>
  <w:style w:type="paragraph" w:styleId="13">
    <w:name w:val="toc 1"/>
    <w:basedOn w:val="a"/>
    <w:next w:val="a"/>
    <w:uiPriority w:val="39"/>
    <w:unhideWhenUsed/>
    <w:pPr>
      <w:spacing w:before="240" w:after="240"/>
    </w:pPr>
    <w:rPr>
      <w:rFonts w:ascii="Arial" w:hAnsi="Arial" w:cs="Arial"/>
      <w:b/>
      <w:sz w:val="28"/>
      <w:szCs w:val="28"/>
    </w:rPr>
  </w:style>
  <w:style w:type="paragraph" w:styleId="21">
    <w:name w:val="toc 2"/>
    <w:basedOn w:val="a"/>
    <w:next w:val="a"/>
    <w:uiPriority w:val="39"/>
    <w:unhideWhenUsed/>
    <w:pPr>
      <w:suppressAutoHyphens w:val="0"/>
      <w:spacing w:after="100" w:line="259" w:lineRule="auto"/>
      <w:ind w:left="220"/>
    </w:pPr>
    <w:rPr>
      <w:rFonts w:asciiTheme="minorHAnsi" w:eastAsiaTheme="minorEastAsia" w:hAnsiTheme="minorHAnsi"/>
      <w:sz w:val="22"/>
      <w:szCs w:val="22"/>
    </w:rPr>
  </w:style>
  <w:style w:type="paragraph" w:styleId="31">
    <w:name w:val="toc 3"/>
    <w:basedOn w:val="a"/>
    <w:next w:val="a"/>
    <w:uiPriority w:val="39"/>
    <w:unhideWhenUsed/>
    <w:pPr>
      <w:suppressAutoHyphens w:val="0"/>
      <w:spacing w:after="100" w:line="259" w:lineRule="auto"/>
      <w:ind w:left="440"/>
    </w:pPr>
    <w:rPr>
      <w:rFonts w:asciiTheme="minorHAnsi" w:eastAsiaTheme="minorEastAsia" w:hAnsiTheme="minorHAnsi"/>
      <w:sz w:val="22"/>
      <w:szCs w:val="22"/>
    </w:rPr>
  </w:style>
  <w:style w:type="character" w:styleId="af5">
    <w:name w:val="annotation reference"/>
    <w:basedOn w:val="a0"/>
    <w:unhideWhenUsed/>
    <w:rPr>
      <w:sz w:val="16"/>
      <w:szCs w:val="16"/>
    </w:rPr>
  </w:style>
  <w:style w:type="character" w:styleId="af6">
    <w:name w:val="Emphasis"/>
    <w:uiPriority w:val="20"/>
    <w:qFormat/>
    <w:rPr>
      <w:i/>
      <w:iCs/>
    </w:rPr>
  </w:style>
  <w:style w:type="character" w:styleId="af7">
    <w:name w:val="endnote reference"/>
    <w:qFormat/>
    <w:rPr>
      <w:vertAlign w:val="superscript"/>
    </w:rPr>
  </w:style>
  <w:style w:type="character" w:styleId="af8">
    <w:name w:val="FollowedHyperlink"/>
    <w:qFormat/>
    <w:rPr>
      <w:color w:val="800080"/>
      <w:u w:val="single"/>
    </w:rPr>
  </w:style>
  <w:style w:type="character" w:styleId="af9">
    <w:name w:val="footnote reference"/>
    <w:semiHidden/>
    <w:qFormat/>
    <w:rPr>
      <w:vertAlign w:val="superscript"/>
    </w:rPr>
  </w:style>
  <w:style w:type="character" w:styleId="afa">
    <w:name w:val="Hyperlink"/>
    <w:basedOn w:val="a0"/>
    <w:uiPriority w:val="99"/>
    <w:unhideWhenUsed/>
    <w:rPr>
      <w:color w:val="0000FF" w:themeColor="hyperlink"/>
      <w:u w:val="single"/>
    </w:rPr>
  </w:style>
  <w:style w:type="character" w:styleId="afb">
    <w:name w:val="Strong"/>
    <w:uiPriority w:val="22"/>
    <w:qFormat/>
    <w:rPr>
      <w:b/>
      <w:bCs/>
    </w:rPr>
  </w:style>
  <w:style w:type="table" w:styleId="af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Верхний колонтитул Знак"/>
    <w:qFormat/>
    <w:rPr>
      <w:rFonts w:ascii="Arial" w:hAnsi="Arial" w:cs="Arial"/>
      <w:lang w:eastAsia="en-US"/>
    </w:rPr>
  </w:style>
  <w:style w:type="character" w:customStyle="1" w:styleId="afe">
    <w:name w:val="Текст Знак"/>
    <w:qFormat/>
    <w:rPr>
      <w:rFonts w:ascii="Courier New" w:hAnsi="Courier New"/>
      <w:lang w:eastAsia="ja-JP"/>
    </w:rPr>
  </w:style>
  <w:style w:type="character" w:customStyle="1" w:styleId="aff">
    <w:name w:val="Основной текст Знак"/>
    <w:qFormat/>
    <w:rPr>
      <w:rFonts w:ascii="Arial" w:hAnsi="Arial"/>
      <w:b/>
      <w:sz w:val="36"/>
      <w:lang w:eastAsia="ja-JP"/>
    </w:rPr>
  </w:style>
  <w:style w:type="character" w:customStyle="1" w:styleId="aff0">
    <w:name w:val="Нижний колонтитул Знак"/>
    <w:uiPriority w:val="99"/>
    <w:qFormat/>
    <w:rPr>
      <w:sz w:val="24"/>
      <w:szCs w:val="24"/>
    </w:rPr>
  </w:style>
  <w:style w:type="character" w:customStyle="1" w:styleId="shorttext">
    <w:name w:val="short_text"/>
    <w:basedOn w:val="a0"/>
    <w:qFormat/>
  </w:style>
  <w:style w:type="character" w:customStyle="1" w:styleId="hps">
    <w:name w:val="hps"/>
    <w:basedOn w:val="a0"/>
    <w:qFormat/>
  </w:style>
  <w:style w:type="character" w:customStyle="1" w:styleId="-">
    <w:name w:val="Интернет-ссылка"/>
    <w:uiPriority w:val="99"/>
    <w:unhideWhenUsed/>
    <w:qFormat/>
    <w:rPr>
      <w:color w:val="0000FF"/>
      <w:u w:val="single"/>
    </w:rPr>
  </w:style>
  <w:style w:type="character" w:customStyle="1" w:styleId="aff1">
    <w:name w:val="гост_набор Знак"/>
    <w:qFormat/>
    <w:locked/>
    <w:rPr>
      <w:rFonts w:ascii="Arial" w:hAnsi="Arial" w:cs="Arial"/>
      <w:sz w:val="24"/>
    </w:rPr>
  </w:style>
  <w:style w:type="character" w:customStyle="1" w:styleId="aff2">
    <w:name w:val="Текст выноски Знак"/>
    <w:uiPriority w:val="99"/>
    <w:qFormat/>
    <w:rPr>
      <w:rFonts w:ascii="Tahoma" w:hAnsi="Tahoma" w:cs="Tahoma"/>
      <w:sz w:val="16"/>
      <w:szCs w:val="16"/>
    </w:rPr>
  </w:style>
  <w:style w:type="character" w:customStyle="1" w:styleId="w">
    <w:name w:val="w"/>
    <w:qFormat/>
  </w:style>
  <w:style w:type="character" w:customStyle="1" w:styleId="30">
    <w:name w:val="Заголовок 3 Знак"/>
    <w:link w:val="3"/>
    <w:uiPriority w:val="9"/>
    <w:qFormat/>
    <w:rPr>
      <w:b/>
      <w:bCs/>
      <w:sz w:val="27"/>
      <w:szCs w:val="27"/>
    </w:rPr>
  </w:style>
  <w:style w:type="character" w:customStyle="1" w:styleId="tagtrans">
    <w:name w:val="tag_trans"/>
    <w:qFormat/>
  </w:style>
  <w:style w:type="character" w:customStyle="1" w:styleId="extended-textfull">
    <w:name w:val="extended-text__full"/>
    <w:qFormat/>
  </w:style>
  <w:style w:type="character" w:customStyle="1" w:styleId="definition">
    <w:name w:val="definition"/>
    <w:qFormat/>
  </w:style>
  <w:style w:type="character" w:customStyle="1" w:styleId="aff3">
    <w:name w:val="Текст концевой сноски Знак"/>
    <w:basedOn w:val="a0"/>
    <w:qFormat/>
  </w:style>
  <w:style w:type="character" w:customStyle="1" w:styleId="14">
    <w:name w:val="Замещающий текст1"/>
    <w:basedOn w:val="a0"/>
    <w:uiPriority w:val="99"/>
    <w:semiHidden/>
    <w:qFormat/>
    <w:rPr>
      <w:color w:val="808080"/>
    </w:rPr>
  </w:style>
  <w:style w:type="character" w:customStyle="1" w:styleId="10">
    <w:name w:val="Заголовок 1 Знак"/>
    <w:basedOn w:val="a0"/>
    <w:link w:val="1"/>
    <w:qFormat/>
    <w:rPr>
      <w:rFonts w:asciiTheme="majorHAnsi" w:eastAsiaTheme="majorEastAsia" w:hAnsiTheme="majorHAnsi" w:cstheme="majorBidi"/>
      <w:b/>
      <w:bCs/>
      <w:color w:val="365F91" w:themeColor="accent1" w:themeShade="BF"/>
      <w:sz w:val="28"/>
      <w:szCs w:val="28"/>
    </w:rPr>
  </w:style>
  <w:style w:type="character" w:customStyle="1" w:styleId="ListLabel1">
    <w:name w:val="ListLabel 1"/>
    <w:qFormat/>
    <w:rPr>
      <w:b/>
    </w:rPr>
  </w:style>
  <w:style w:type="character" w:customStyle="1" w:styleId="ListLabel2">
    <w:name w:val="ListLabel 2"/>
    <w:qFormat/>
    <w:rPr>
      <w:sz w:val="24"/>
      <w:szCs w:val="24"/>
    </w:rPr>
  </w:style>
  <w:style w:type="character" w:customStyle="1" w:styleId="ListLabel3">
    <w:name w:val="ListLabel 3"/>
    <w:qFormat/>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rFonts w:eastAsia="Calibri" w:cs="Arial"/>
    </w:rPr>
  </w:style>
  <w:style w:type="character" w:customStyle="1" w:styleId="aff4">
    <w:name w:val="Символ сноски"/>
    <w:qFormat/>
  </w:style>
  <w:style w:type="paragraph" w:customStyle="1" w:styleId="15">
    <w:name w:val="Название1"/>
    <w:basedOn w:val="a"/>
    <w:pPr>
      <w:suppressLineNumbers/>
      <w:spacing w:before="120" w:after="120"/>
    </w:pPr>
    <w:rPr>
      <w:rFonts w:cs="Mangal"/>
      <w:i/>
      <w:iCs/>
    </w:rPr>
  </w:style>
  <w:style w:type="paragraph" w:customStyle="1" w:styleId="-11">
    <w:name w:val="Цветной список - Акцент 11"/>
    <w:basedOn w:val="a"/>
    <w:uiPriority w:val="34"/>
    <w:qFormat/>
    <w:pPr>
      <w:ind w:left="720"/>
      <w:contextualSpacing/>
    </w:pPr>
    <w:rPr>
      <w:rFonts w:ascii="Calibri" w:eastAsia="Calibri" w:hAnsi="Calibri"/>
      <w:sz w:val="22"/>
      <w:szCs w:val="22"/>
      <w:lang w:eastAsia="en-US"/>
    </w:rPr>
  </w:style>
  <w:style w:type="paragraph" w:customStyle="1" w:styleId="FR1">
    <w:name w:val="FR1"/>
    <w:qFormat/>
    <w:pPr>
      <w:widowControl w:val="0"/>
      <w:suppressAutoHyphens/>
      <w:spacing w:line="300" w:lineRule="auto"/>
      <w:ind w:left="2280" w:right="2200" w:firstLine="720"/>
      <w:jc w:val="center"/>
    </w:pPr>
    <w:rPr>
      <w:sz w:val="28"/>
    </w:rPr>
  </w:style>
  <w:style w:type="paragraph" w:customStyle="1" w:styleId="aff5">
    <w:name w:val="Простой заголовок"/>
    <w:basedOn w:val="a"/>
    <w:qFormat/>
    <w:pPr>
      <w:keepNext/>
      <w:widowControl w:val="0"/>
      <w:spacing w:before="240" w:after="240" w:line="360" w:lineRule="auto"/>
      <w:ind w:firstLine="720"/>
    </w:pPr>
    <w:rPr>
      <w:rFonts w:ascii="Arial" w:hAnsi="Arial"/>
      <w:b/>
      <w:color w:val="000000"/>
      <w:sz w:val="28"/>
      <w:szCs w:val="20"/>
    </w:rPr>
  </w:style>
  <w:style w:type="paragraph" w:customStyle="1" w:styleId="aff6">
    <w:name w:val="гост_набор"/>
    <w:basedOn w:val="a"/>
    <w:qFormat/>
    <w:pPr>
      <w:spacing w:line="360" w:lineRule="auto"/>
      <w:ind w:firstLine="709"/>
      <w:jc w:val="both"/>
    </w:pPr>
    <w:rPr>
      <w:rFonts w:ascii="Arial" w:hAnsi="Arial" w:cs="Arial"/>
      <w:szCs w:val="20"/>
    </w:rPr>
  </w:style>
  <w:style w:type="paragraph" w:customStyle="1" w:styleId="src">
    <w:name w:val="src"/>
    <w:basedOn w:val="a"/>
    <w:qFormat/>
    <w:pPr>
      <w:spacing w:beforeAutospacing="1" w:afterAutospacing="1"/>
    </w:pPr>
  </w:style>
  <w:style w:type="paragraph" w:customStyle="1" w:styleId="16">
    <w:name w:val="Абзац списка1"/>
    <w:basedOn w:val="a"/>
    <w:uiPriority w:val="34"/>
    <w:qFormat/>
    <w:pPr>
      <w:ind w:left="720"/>
      <w:contextualSpacing/>
    </w:pPr>
  </w:style>
  <w:style w:type="paragraph" w:customStyle="1" w:styleId="FORMATTEXT">
    <w:name w:val=".FORMATTEXT"/>
    <w:uiPriority w:val="99"/>
    <w:qFormat/>
    <w:pPr>
      <w:widowControl w:val="0"/>
      <w:suppressAutoHyphens/>
    </w:pPr>
    <w:rPr>
      <w:rFonts w:ascii="Arial" w:hAnsi="Arial" w:cs="Arial"/>
      <w:sz w:val="24"/>
    </w:rPr>
  </w:style>
  <w:style w:type="table" w:customStyle="1" w:styleId="17">
    <w:name w:val="Сетка таблицы1"/>
    <w:basedOn w:val="a1"/>
    <w:uiPriority w:val="5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примечания Знак"/>
    <w:basedOn w:val="a0"/>
    <w:link w:val="a5"/>
    <w:semiHidden/>
  </w:style>
  <w:style w:type="character" w:customStyle="1" w:styleId="a8">
    <w:name w:val="Тема примечания Знак"/>
    <w:basedOn w:val="a6"/>
    <w:link w:val="a7"/>
    <w:semiHidden/>
    <w:rPr>
      <w:b/>
      <w:bCs/>
    </w:rPr>
  </w:style>
  <w:style w:type="paragraph" w:customStyle="1" w:styleId="18">
    <w:name w:val="Заголовок оглавления1"/>
    <w:basedOn w:val="1"/>
    <w:next w:val="a"/>
    <w:uiPriority w:val="39"/>
    <w:unhideWhenUsed/>
    <w:qFormat/>
    <w:pPr>
      <w:suppressAutoHyphens w:val="0"/>
      <w:spacing w:before="240" w:line="259" w:lineRule="auto"/>
      <w:outlineLvl w:val="9"/>
    </w:pPr>
    <w:rPr>
      <w:b w:val="0"/>
      <w:bCs w:val="0"/>
      <w:sz w:val="32"/>
      <w:szCs w:val="32"/>
    </w:rPr>
  </w:style>
  <w:style w:type="character" w:customStyle="1" w:styleId="af3">
    <w:name w:val="Подзаголовок Знак"/>
    <w:basedOn w:val="a0"/>
    <w:link w:val="af2"/>
    <w:rPr>
      <w:rFonts w:asciiTheme="minorHAnsi" w:eastAsiaTheme="minorEastAsia" w:hAnsiTheme="minorHAnsi" w:cstheme="minorBidi"/>
      <w:color w:val="595959" w:themeColor="text1" w:themeTint="A6"/>
      <w:spacing w:val="15"/>
      <w:sz w:val="22"/>
      <w:szCs w:val="22"/>
    </w:rPr>
  </w:style>
  <w:style w:type="character" w:customStyle="1" w:styleId="20">
    <w:name w:val="Заголовок 2 Знак"/>
    <w:basedOn w:val="a0"/>
    <w:link w:val="2"/>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rPr>
      <w:rFonts w:asciiTheme="majorHAnsi" w:eastAsiaTheme="majorEastAsia" w:hAnsiTheme="majorHAnsi" w:cstheme="majorBidi"/>
      <w:i/>
      <w:iCs/>
      <w:color w:val="365F91" w:themeColor="accent1" w:themeShade="BF"/>
      <w:sz w:val="24"/>
      <w:szCs w:val="24"/>
    </w:rPr>
  </w:style>
  <w:style w:type="table" w:customStyle="1" w:styleId="41">
    <w:name w:val="Сетка таблицы4"/>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Знак1"/>
    <w:basedOn w:val="a0"/>
    <w:link w:val="a4"/>
    <w:rPr>
      <w:rFonts w:ascii="Arial" w:hAnsi="Arial"/>
      <w:b/>
      <w:sz w:val="36"/>
      <w:lang w:eastAsia="ja-JP"/>
    </w:rPr>
  </w:style>
  <w:style w:type="character" w:customStyle="1" w:styleId="60">
    <w:name w:val="Заголовок 6 Знак"/>
    <w:basedOn w:val="a0"/>
    <w:link w:val="6"/>
    <w:semiHidden/>
    <w:rPr>
      <w:rFonts w:asciiTheme="majorHAnsi" w:eastAsiaTheme="majorEastAsia" w:hAnsiTheme="majorHAnsi" w:cstheme="majorBidi"/>
      <w:color w:val="244061" w:themeColor="accent1" w:themeShade="80"/>
      <w:sz w:val="24"/>
      <w:szCs w:val="24"/>
    </w:rPr>
  </w:style>
  <w:style w:type="character" w:customStyle="1" w:styleId="50">
    <w:name w:val="Заголовок 5 Знак"/>
    <w:basedOn w:val="a0"/>
    <w:link w:val="5"/>
    <w:semiHidden/>
    <w:rPr>
      <w:rFonts w:asciiTheme="majorHAnsi" w:eastAsiaTheme="majorEastAsia" w:hAnsiTheme="majorHAnsi" w:cstheme="majorBidi"/>
      <w:color w:val="365F91" w:themeColor="accent1" w:themeShade="BF"/>
      <w:sz w:val="24"/>
      <w:szCs w:val="24"/>
    </w:rPr>
  </w:style>
  <w:style w:type="paragraph" w:customStyle="1" w:styleId="TableParagraph">
    <w:name w:val="Table Paragraph"/>
    <w:basedOn w:val="a"/>
    <w:uiPriority w:val="1"/>
    <w:qFormat/>
    <w:pPr>
      <w:widowControl w:val="0"/>
      <w:suppressAutoHyphens w:val="0"/>
      <w:autoSpaceDE w:val="0"/>
      <w:autoSpaceDN w:val="0"/>
      <w:spacing w:before="31"/>
    </w:pPr>
    <w:rPr>
      <w:rFonts w:ascii="Cambria" w:eastAsia="Cambria" w:hAnsi="Cambria" w:cs="Cambria"/>
      <w:sz w:val="22"/>
      <w:szCs w:val="22"/>
      <w:lang w:val="en-US" w:eastAsia="en-US" w:bidi="en-US"/>
    </w:rPr>
  </w:style>
  <w:style w:type="character" w:customStyle="1" w:styleId="Headerorfooter2">
    <w:name w:val="Header or footer|2_"/>
    <w:basedOn w:val="a0"/>
    <w:link w:val="Headerorfooter20"/>
    <w:qFormat/>
    <w:rPr>
      <w:shd w:val="clear" w:color="auto" w:fill="FFFFFF"/>
    </w:rPr>
  </w:style>
  <w:style w:type="paragraph" w:customStyle="1" w:styleId="Headerorfooter20">
    <w:name w:val="Header or footer|2"/>
    <w:basedOn w:val="a"/>
    <w:link w:val="Headerorfooter2"/>
    <w:qFormat/>
    <w:pPr>
      <w:widowControl w:val="0"/>
      <w:shd w:val="clear" w:color="auto" w:fill="FFFFFF"/>
      <w:suppressAutoHyphens w:val="0"/>
    </w:pPr>
    <w:rPr>
      <w:sz w:val="20"/>
      <w:szCs w:val="20"/>
    </w:rPr>
  </w:style>
  <w:style w:type="character" w:customStyle="1" w:styleId="Bodytext1">
    <w:name w:val="Body text|1_"/>
    <w:basedOn w:val="a0"/>
    <w:link w:val="Bodytext10"/>
    <w:qFormat/>
    <w:rPr>
      <w:rFonts w:ascii="Cambria" w:eastAsia="Cambria" w:hAnsi="Cambria" w:cs="Cambria"/>
      <w:shd w:val="clear" w:color="auto" w:fill="FFFFFF"/>
    </w:rPr>
  </w:style>
  <w:style w:type="paragraph" w:customStyle="1" w:styleId="Bodytext10">
    <w:name w:val="Body text|1"/>
    <w:basedOn w:val="a"/>
    <w:link w:val="Bodytext1"/>
    <w:qFormat/>
    <w:pPr>
      <w:widowControl w:val="0"/>
      <w:shd w:val="clear" w:color="auto" w:fill="FFFFFF"/>
      <w:suppressAutoHyphens w:val="0"/>
      <w:spacing w:after="180"/>
    </w:pPr>
    <w:rPr>
      <w:rFonts w:ascii="Cambria" w:eastAsia="Cambria" w:hAnsi="Cambria" w:cs="Cambria"/>
      <w:sz w:val="20"/>
      <w:szCs w:val="20"/>
    </w:rPr>
  </w:style>
  <w:style w:type="character" w:customStyle="1" w:styleId="Picturecaption1">
    <w:name w:val="Picture caption|1_"/>
    <w:basedOn w:val="a0"/>
    <w:link w:val="Picturecaption10"/>
    <w:qFormat/>
    <w:rPr>
      <w:rFonts w:ascii="Cambria" w:eastAsia="Cambria" w:hAnsi="Cambria" w:cs="Cambria"/>
      <w:shd w:val="clear" w:color="auto" w:fill="FFFFFF"/>
    </w:rPr>
  </w:style>
  <w:style w:type="paragraph" w:customStyle="1" w:styleId="Picturecaption10">
    <w:name w:val="Picture caption|1"/>
    <w:basedOn w:val="a"/>
    <w:link w:val="Picturecaption1"/>
    <w:qFormat/>
    <w:pPr>
      <w:widowControl w:val="0"/>
      <w:shd w:val="clear" w:color="auto" w:fill="FFFFFF"/>
      <w:suppressAutoHyphens w:val="0"/>
      <w:spacing w:line="305" w:lineRule="auto"/>
    </w:pPr>
    <w:rPr>
      <w:rFonts w:ascii="Cambria" w:eastAsia="Cambria" w:hAnsi="Cambria" w:cs="Cambria"/>
      <w:sz w:val="20"/>
      <w:szCs w:val="20"/>
    </w:rPr>
  </w:style>
  <w:style w:type="character" w:customStyle="1" w:styleId="Other2">
    <w:name w:val="Other|2_"/>
    <w:basedOn w:val="a0"/>
    <w:link w:val="Other20"/>
    <w:qFormat/>
    <w:rPr>
      <w:rFonts w:ascii="Cambria" w:eastAsia="Cambria" w:hAnsi="Cambria" w:cs="Cambria"/>
      <w:shd w:val="clear" w:color="auto" w:fill="FFFFFF"/>
    </w:rPr>
  </w:style>
  <w:style w:type="paragraph" w:customStyle="1" w:styleId="Other20">
    <w:name w:val="Other|2"/>
    <w:basedOn w:val="a"/>
    <w:link w:val="Other2"/>
    <w:qFormat/>
    <w:pPr>
      <w:widowControl w:val="0"/>
      <w:shd w:val="clear" w:color="auto" w:fill="FFFFFF"/>
      <w:suppressAutoHyphens w:val="0"/>
      <w:spacing w:after="180"/>
    </w:pPr>
    <w:rPr>
      <w:rFonts w:ascii="Cambria" w:eastAsia="Cambria" w:hAnsi="Cambria" w:cs="Cambria"/>
      <w:sz w:val="20"/>
      <w:szCs w:val="20"/>
    </w:rPr>
  </w:style>
  <w:style w:type="paragraph" w:styleId="aff7">
    <w:name w:val="List Paragraph"/>
    <w:basedOn w:val="a"/>
    <w:uiPriority w:val="99"/>
    <w:unhideWhenUsed/>
    <w:rsid w:val="002334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www.electropedia.org/"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gost.ru/" TargetMode="External"/><Relationship Id="rId17" Type="http://schemas.openxmlformats.org/officeDocument/2006/relationships/hyperlink" Target="https://www.iso.org/obp/ui"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422BB6-3DC7-4A5F-BA71-E71CC402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45</Pages>
  <Words>9823</Words>
  <Characters>55996</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nickd</Company>
  <LinksUpToDate>false</LinksUpToDate>
  <CharactersWithSpaces>65688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Мария А. Емельянова</cp:lastModifiedBy>
  <cp:revision>13</cp:revision>
  <cp:lastPrinted>2020-05-13T15:28:00Z</cp:lastPrinted>
  <dcterms:created xsi:type="dcterms:W3CDTF">2020-05-26T05:53:00Z</dcterms:created>
  <dcterms:modified xsi:type="dcterms:W3CDTF">2020-06-01T14:14:00Z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nickd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2052-10.7.0</vt:lpwstr>
  </property>
</Properties>
</file>